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20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August 13, 2025, the Company issued an announcement titled “Nexxen Reports Second Quarter 2025 Financial Results”, a copy of which is attached as Exhibit 99.1 to this Form 6-K.</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IFRS financial information contained in the (i) condensed consolidated interim statements of financial position as of June 30, 2025 and December 31, 2024 (unaudited), (ii) condensed consolidated interim statements of operation and other comprehensive income (loss) for the three and six months ended June 30, 2025 and June 30, 2024 (unaudited), (iii) condensed consolidated interim statements of changes in equity (unaudited), and (iv) condensed consolidated interim statements of cash flows for the six months ended June 30, 2025 and June 30, 2024 (unaudited) included in the press release attached as Exhibit 99.1 to this Report on Form 6-K are hereby incorporated by reference into the Company’s Registration Statements on Form S-8 (File No. 333-258731, File No. 333-277709 and File No. 333-285552) and shall be deemed to be a part thereof from the date on which this report is filed, to the extent not superseded by documents or reports subsequently filed or furnished.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0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announcement dated August 13, 2025, “Nexxen Reports Second Quarter 2025 Financial Results”.</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520" w:type="dxa"/>
            <w:vAlign w:val="bottom"/>
          </w:tcPr>
          <w:p>
            <w:pPr>
              <w:spacing w:after="0"/>
              <w:rPr>
                <w:sz w:val="20"/>
                <w:szCs w:val="20"/>
                <w:color w:val="auto"/>
              </w:rPr>
            </w:pPr>
          </w:p>
        </w:tc>
      </w:tr>
      <w:tr>
        <w:trPr>
          <w:trHeight w:val="412"/>
        </w:trPr>
        <w:tc>
          <w:tcPr>
            <w:tcW w:w="72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780" w:type="dxa"/>
            <w:vAlign w:val="bottom"/>
          </w:tcPr>
          <w:p>
            <w:pPr>
              <w:spacing w:after="0"/>
              <w:rPr>
                <w:sz w:val="17"/>
                <w:szCs w:val="17"/>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4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w:t>
            </w: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Company announcement dated August 13, 2025, “Nexxen Reports Second Quarter 2025 Financial Results”.</w:t>
            </w: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60" w:type="dxa"/>
            <w:vAlign w:val="bottom"/>
          </w:tcPr>
          <w:p>
            <w:pPr>
              <w:spacing w:after="0"/>
              <w:rPr>
                <w:sz w:val="17"/>
                <w:szCs w:val="17"/>
                <w:color w:val="auto"/>
              </w:rPr>
            </w:pPr>
          </w:p>
        </w:tc>
        <w:tc>
          <w:tcPr>
            <w:tcW w:w="7780" w:type="dxa"/>
            <w:vAlign w:val="bottom"/>
            <w:tcBorders>
              <w:top w:val="single" w:sz="8" w:color="0000EE"/>
            </w:tcBorders>
          </w:tcPr>
          <w:p>
            <w:pPr>
              <w:spacing w:after="0"/>
              <w:rPr>
                <w:sz w:val="17"/>
                <w:szCs w:val="17"/>
                <w:color w:val="auto"/>
              </w:rPr>
            </w:pPr>
          </w:p>
        </w:tc>
        <w:tc>
          <w:tcPr>
            <w:tcW w:w="2560" w:type="dxa"/>
            <w:vAlign w:val="bottom"/>
          </w:tcPr>
          <w:p>
            <w:pPr>
              <w:spacing w:after="0"/>
              <w:rPr>
                <w:sz w:val="17"/>
                <w:szCs w:val="17"/>
                <w:color w:val="auto"/>
              </w:rPr>
            </w:pPr>
          </w:p>
        </w:tc>
      </w:tr>
      <w:tr>
        <w:trPr>
          <w:trHeight w:val="345"/>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7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Nexxen Reports Second Quarter 2025 Financial Results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Generated record Q2 Contribution ex-TAC, programmatic revenue and CTV revenue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Increased Adjusted EBITDA Margin to 34% of Contribution ex-TAC from 32% in Q2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Renewed and expanded strategic partnership with VIDAA in Q3 2025 through at least the end of 2029,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increasing investment in VIDAA by $35 million to accelerate their North American CTV and data footprint</w:t>
      </w:r>
    </w:p>
    <w:p>
      <w:pPr>
        <w:spacing w:after="0" w:line="23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NEW YORK, August 13, 2025 -- Nexxen International Ltd. (NASDAQ: NEXN) (“Nexxen” or the “Company”), a global, flexible advertising technology platform with deep expertise in data and advanced TV, announced today its financial results for the three and six months ended June 30,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Q2 2025 Financial Highlights</w:t>
      </w:r>
    </w:p>
    <w:p>
      <w:pPr>
        <w:spacing w:after="0" w:line="25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Q2 Contribution ex-TAC of $87.8 million, up 6%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Q2 programmatic revenue of $85.0 million, up 8%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Q2 CTV revenue of $28.4 million, up 1%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CTV revenue reflected 33% of programmatic revenue compared to 36% in Q2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Programmatic revenue increased to 93% of revenue from 89% in Q2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$29.9 million, up 12% year-over-year, representing a 34% Adjusted EBITDA Margin on a Contribution ex-TAC basis (33% on a revenue basis), compared to 32% (30% on a revenue basis) in Q2 2024</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revenue reflected 68% of programmatic revenue compared to 74% in Q2 2024</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 million cash and cash equivalents as of June 30, 2025, alongside no long-term debt and $50 million undrawn on the Company’s updated and extended revolving credit facility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achieved strong Q2 results driven by increased data and tech licensing revenue, highlighting the resilience and diversity of our end-to-end platform’s offerings,” said Ofer Druker, Chief Executive Officer of Nexxen. “Our execution has enabled us to effectively manage market volatility while advancing initiatives that position us for long-term success. The launch of nexAI has enhanced our differentiation while increasing performance across our platform and streamlining operations. Our sustained investments in future growth and integrating advanced advertising technology, AI and data are paying off, reinforcing our position as a strategic platform of choice and redefining what customers demand from their technology partners.”</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Mr. Druker added, “Additionally, our ability to renew and expand our partnership with VIDAA in Q3 marks an important milestone that significantly strengthens our long-term CTV strategy. Through our increased investment, we’re moving from foundation-building to full-scale monetization, supporting VIDAA’s North American expansion to deliver greater ACR data scale and unique premium ad inventory to customers in the world’s largest advertising markets. This deepened partnership sharpens Nexxen’s competitive edge in data and CTV, extends our runway for sustainable revenue growth and unlocks considerable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p>
    <w:p>
      <w:pPr>
        <w:spacing w:after="0" w:line="24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reaffirms its prior full year 2025 financial guidance:</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Contribution ex-TAC of approximately $380 million</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programmatic revenue to reflect approximately 90% of full year 2025 revenue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2025 Adjusted EBITDA of approximately $125 million</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macroeconomic uncertainty from Q2 extending into Q3 — primarily driven by tariffs, evolving U.S. trade policies and geopolitical tensions — the Company remains confident in its full year 2025 guidance. This confidence is based on the assumption that advertising conditions do not significantly deteriorate and that there are no material adverse changes in industry dynamics or customer spending behavior. The Company’s confidence is further reinforced by increasing enterprise relationships, self-service adoption and data and technology licensing revenue.</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remains confident in its full year 2025 guidance — based on spending trends observed thus far in Q3 — it also acknowledges that heightened macroeconomic challenges could impact consumer spending, advertising demand and financial results.</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will continue investing in technology, data and generative AI to build on the Company’s product momentum post nexAI launch. These investments are expected to enhance performance and customer adoption while driving greater internal efficiencies that further support increased profitability and Adjusted EBITDA Margin expansion in 2026 and beyond.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expects to continue investing in top-tier talent, particularly across its commercial and media teams, to enhance Nexxen’s ability to capitalize on its long-term growth opportunity.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Q2 2025 Operational Highlights and Recent Developments</w:t>
      </w:r>
    </w:p>
    <w:p>
      <w:pPr>
        <w:spacing w:after="0" w:line="243"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nexAI, a comprehensive suite of AI-powered assistants and features vertically integrated across Nexxen’s unified platform designed to enhance performance across planning, activation, optimization and monetization — powered by proprietary data, machine learning and generative AI.</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first nexAI solutions in Q2 2025, including an AI-powered assistant within the Nexxen DSP and generative AI tools within the Nexxen Data Platform, such as the nexAI Discovery Assistant, which enables users to quickly generate detailed audience insights reports featuring sentiment analysis, interest mapping and strategic recommendations.</w:t>
      </w:r>
    </w:p>
    <w:p>
      <w:pPr>
        <w:spacing w:after="0" w:line="189" w:lineRule="exact"/>
        <w:rPr>
          <w:rFonts w:ascii="Times New Roman" w:cs="Times New Roman" w:eastAsia="Times New Roman" w:hAnsi="Times New Roman"/>
          <w:sz w:val="18"/>
          <w:szCs w:val="18"/>
          <w:color w:val="auto"/>
        </w:rPr>
      </w:pPr>
    </w:p>
    <w:p>
      <w:pPr>
        <w:ind w:left="340" w:right="20" w:hanging="332"/>
        <w:spacing w:after="0" w:line="27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and expanded strategic partnership with VIDAA in Q3 2025, extending Nexxen’s exclusive global access to VIDAA’s automatic content recognition (“ACR”) data and securing exclusive video and display ad monetization rights on VIDAA media in North America through at least the end of 2029. Benefits relating to the updated partnership are expected to take effect starting in 2026.</w:t>
      </w:r>
    </w:p>
    <w:p>
      <w:pPr>
        <w:spacing w:after="0" w:line="182" w:lineRule="exact"/>
        <w:rPr>
          <w:rFonts w:ascii="Times New Roman" w:cs="Times New Roman" w:eastAsia="Times New Roman" w:hAnsi="Times New Roman"/>
          <w:sz w:val="18"/>
          <w:szCs w:val="18"/>
          <w:color w:val="auto"/>
        </w:rPr>
      </w:pPr>
    </w:p>
    <w:p>
      <w:pPr>
        <w:ind w:left="340" w:right="120" w:hanging="332"/>
        <w:spacing w:after="0" w:line="28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investment in VIDAA by $35 million (to $60 million, or roughly 6% of VIDAA’s outstanding shares), as announced in Q3 2025, to accelerate their North American CTV expansion, which is expected to enhance the value of Nexxen’s exclusive ACR data, ad monetization rights and overall investment over time.</w:t>
      </w:r>
    </w:p>
    <w:p>
      <w:pPr>
        <w:spacing w:after="0" w:line="1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to the Russell 3000 Index as a direct result of streamlining to a single U.S. Ordinary Share listing in February 2025.</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Wall Street visibility by hosting the Company’s first U.S. Investor Day, attracting strong attendance from analysts, investors and banking partners, alongside significant streaming viewership.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108 new actively spending first-time advertiser customers in Q2 2025 across health, technology, financial services and other verticals, including 43 new enterprise self-service advertiser customers and 5 new independent agencies leveraging Nexxen’s self-service solutions.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Onboarded 86 new supply partners across several verticals and formats in Q2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 and Capital Allocation Updates (Share Totals and Cost Basis Shown on a Post-Reverse-Split Basis)</w:t>
      </w:r>
    </w:p>
    <w:p>
      <w:pPr>
        <w:spacing w:after="0" w:line="2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 repurchased 3,937,280 Ordinary Shares during Q2 2025 at an average price of $9.91, investing approximately $39.1 million.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March 1, 2022, when the Company launched a series of share repurchase programs, through June 30, 2025, Nexxen repurchased 26,558,752 Ordinary Shares, or 34.3% of shares outstanding, investing approximately $229.3 million.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2025, the Company had approximately $7.2 million remaining on its Ordinary Share repurchase program authorization.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Nexxen’s Board of Directors intends to continue to evaluate implementing a new share repurchase program following completion of the ongoing program, subject to then current market conditions, necessary approvals and the Company’s valuation.</w:t>
      </w: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also invest an additional $35 million in VIDAA and explore strategic opportunities — expected to be smaller in size than Amobee — focused on expanding Nexxen’s monetizable data footprint, enhancing AI capabilities, accelerating revenue across its core business lines in the U.S. and internationally or entering new high growth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 for the Three and Six Months Ended June 30, 2025 ($ in millions,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3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tcBorders>
              <w:bottom w:val="single" w:sz="8" w:color="auto"/>
            </w:tcBorders>
            <w:gridSpan w:val="5"/>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Highlights</w:t>
            </w:r>
          </w:p>
        </w:tc>
        <w:tc>
          <w:tcPr>
            <w:tcW w:w="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163.0</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Programmatic revenue</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78.6</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156.8</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margin on a gross</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18"/>
                <w:szCs w:val="1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profit basis</w:t>
            </w:r>
          </w:p>
        </w:tc>
        <w:tc>
          <w:tcPr>
            <w:tcW w:w="600" w:type="dxa"/>
            <w:vAlign w:val="bottom"/>
            <w:gridSpan w:val="2"/>
            <w:vMerge w:val="continue"/>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Highlights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ex-TAC</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83.1</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152.8</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74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7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1"/>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 on a</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74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ex-TAC basis</w:t>
            </w:r>
          </w:p>
        </w:tc>
        <w:tc>
          <w:tcPr>
            <w:tcW w:w="600" w:type="dxa"/>
            <w:vAlign w:val="bottom"/>
            <w:gridSpan w:val="2"/>
            <w:vMerge w:val="continue"/>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Non-IFRS net income</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7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Non-IFRS diluted earnings per share (*)</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0.29</w:t>
            </w:r>
          </w:p>
        </w:tc>
        <w:tc>
          <w:tcPr>
            <w:tcW w:w="74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7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0.45</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8"/>
        <w:spacing w:after="0" w:line="274"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financial statements on Form 20-F, filed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2025 Financial Results Webcast and Conference Call Details</w:t>
      </w:r>
    </w:p>
    <w:p>
      <w:pPr>
        <w:spacing w:after="0" w:line="2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When: </w:t>
      </w:r>
      <w:r>
        <w:rPr>
          <w:rFonts w:ascii="Times New Roman" w:cs="Times New Roman" w:eastAsia="Times New Roman" w:hAnsi="Times New Roman"/>
          <w:sz w:val="18"/>
          <w:szCs w:val="18"/>
          <w:color w:val="auto"/>
        </w:rPr>
        <w:t>August 13, 2025, at 9:00 AM ET</w:t>
      </w:r>
    </w:p>
    <w:p>
      <w:pPr>
        <w:spacing w:after="0" w:line="31"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A live and archived webcast can be accessed from the Events and Presentations section of Nexxen’s Investor Relations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https://investors.nexxen.com/</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Participant Dial-In Numbers:</w:t>
      </w:r>
    </w:p>
    <w:p>
      <w:pPr>
        <w:spacing w:after="0" w:line="9"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Canada Toll-Free Dial-In Number: (888) 596-4144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Toll-Free Dial-In Number: +44 800 260 6470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Dial-In Number: +1 (646) 968-2525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2738966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Nasdaq (NEXN).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full year 2025 and beyond; anticipated benefits of Nexxen’s strategic transactions and commercial partnerships; anticipated features and benefits of Nexxen’s products and service offerings, including anticipated benefits relating to the launch of nexAI; Nexxen’s positioning for accelerated growth and continued future growth; Nexxen’s medium- to long-term prospects; management’s belief that Nexxen is well-positioned to benefit from future industry growth trends and Company-specific catalysts; the Company’s plans with respect to its cash reserves as well as ongoing and future share repurchase programs and further investment in VIDAA; the anticipated benefits from the renewed and expanded strategic partnership with VIDAA; the anticipated impact of the Company’s generative AI initiative and its ability to contribute to the Company’s growth; management’s expectations to continue investments in technology, data and generative AI throughout 2025, and the anticipated impact of these investments;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including risks related to tariff impacts or policy shifts (including trade negotiations or enforcement actions) that could materially affect market sentiment, consumer behavior and advertising demand; global conflicts and war, including the war and hostilities between Israel and Hamas, Hezbollah, the Houthis in Yemen and Iran,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on Form 20-F, filed with the U.S. Securities and Exchange Commission (www.sec.gov) on March 5, 2025.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Non-IFRS Financial Information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to our IFRS results, we review certain non-IFRS financial measures to help us evaluate our business, measure our performance, identify trends affecting our business, establish budgets, measure the effectiveness of investments in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(Loss) to Adjusted EBITDA," and "Reconciliation of Net Income (Loss) to Non-IFRS Net Income," included as part of this press release.</w:t>
      </w:r>
    </w:p>
    <w:p>
      <w:pPr>
        <w:spacing w:after="0" w:line="184" w:lineRule="exact"/>
        <w:rPr>
          <w:sz w:val="20"/>
          <w:szCs w:val="20"/>
          <w:color w:val="auto"/>
        </w:rPr>
      </w:pPr>
    </w:p>
    <w:p>
      <w:pPr>
        <w:jc w:val="both"/>
        <w:ind w:left="620" w:hanging="234"/>
        <w:spacing w:after="0" w:line="255"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ex-TAC</w:t>
      </w:r>
      <w:r>
        <w:rPr>
          <w:rFonts w:ascii="Times New Roman" w:cs="Times New Roman" w:eastAsia="Times New Roman" w:hAnsi="Times New Roman"/>
          <w:sz w:val="18"/>
          <w:szCs w:val="18"/>
          <w:color w:val="auto"/>
        </w:rPr>
        <w:t>: Contribution ex-TAC for Nexxen is defined as gross profit plus depreciation and amortization attributable to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and cost of revenue (exclusive of depreciation and amortization) minus the Performance media cost (“traffic acquisition costs” or “TAC”). Performance media cost represents the costs of purchases of impressions from publishers on a cost-per-thousand impression basis in our non-core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p>
      <w:pPr>
        <w:spacing w:after="0" w:line="198" w:lineRule="exact"/>
        <w:rPr>
          <w:rFonts w:ascii="Times New Roman" w:cs="Times New Roman" w:eastAsia="Times New Roman" w:hAnsi="Times New Roman"/>
          <w:sz w:val="18"/>
          <w:szCs w:val="18"/>
          <w:color w:val="auto"/>
        </w:rPr>
      </w:pPr>
    </w:p>
    <w:p>
      <w:pPr>
        <w:jc w:val="both"/>
        <w:ind w:left="620" w:hanging="234"/>
        <w:spacing w:after="0" w:line="25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We define Adjusted EBITDA for Nexxen as total comprehensive income (loss) for the period adjusted for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differences for foreign operations, tax expenses, financial expenses (income), net, depreciation and amortization, stock-based compensation expenses, other expenses, net,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2" w:lineRule="exact"/>
        <w:rPr>
          <w:rFonts w:ascii="Times New Roman" w:cs="Times New Roman" w:eastAsia="Times New Roman" w:hAnsi="Times New Roman"/>
          <w:sz w:val="18"/>
          <w:szCs w:val="18"/>
          <w:color w:val="auto"/>
        </w:rPr>
      </w:pPr>
    </w:p>
    <w:p>
      <w:pPr>
        <w:ind w:left="620" w:hanging="23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Contribution ex-TAC.</w:t>
      </w:r>
    </w:p>
    <w:p>
      <w:pPr>
        <w:spacing w:after="0" w:line="238" w:lineRule="exact"/>
        <w:rPr>
          <w:rFonts w:ascii="Times New Roman" w:cs="Times New Roman" w:eastAsia="Times New Roman" w:hAnsi="Times New Roman"/>
          <w:sz w:val="18"/>
          <w:szCs w:val="18"/>
          <w:color w:val="auto"/>
        </w:rPr>
      </w:pPr>
    </w:p>
    <w:p>
      <w:pPr>
        <w:jc w:val="both"/>
        <w:ind w:left="620" w:hanging="234"/>
        <w:spacing w:after="0" w:line="253"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Non-IFRS Net Income and Non-IFRS Earnings per Share: </w:t>
      </w:r>
      <w:r>
        <w:rPr>
          <w:rFonts w:ascii="Times New Roman" w:cs="Times New Roman" w:eastAsia="Times New Roman" w:hAnsi="Times New Roman"/>
          <w:sz w:val="18"/>
          <w:szCs w:val="18"/>
          <w:color w:val="auto"/>
        </w:rPr>
        <w:t>We define non-IFRS earnings per share as non-IFRS net income divided by non-IFRS weighted-average shares outstanding. Non-IFRS net income is equal to net income (loss) excluding amortization of acquired intangibles, delisting related one-time costs, stock-based compensation expenses, and other expenses, net, and also considers the tax effects of non-IFRS adjustments. In periods in which we have non-IFRS net income, non-IFRS weighted-average shares outstanding used to calculate non-IFRS earnings per share includes the impact of potentially dilutive shares. Potentially dilutive shares consist of stock options, restricted stock awards, restricted stock units and performance stock units, each computed using the treasury stock method. We believe non-IFRS earnings per share is useful to investors in evaluating our ongoing operational performance and our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 (loss).</w:t>
      </w:r>
    </w:p>
    <w:p>
      <w:pPr>
        <w:spacing w:after="0" w:line="19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2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Reconciliation of Total Comprehensive Income (Loss) to Adjusted EBITDA</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11,256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2,924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13,647</w:t>
            </w:r>
          </w:p>
        </w:tc>
        <w:tc>
          <w:tcPr>
            <w:tcW w:w="18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(4,362)</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413%</w:t>
            </w:r>
          </w:p>
        </w:tc>
        <w:tc>
          <w:tcPr>
            <w:tcW w:w="0" w:type="dxa"/>
            <w:vAlign w:val="bottom"/>
          </w:tcPr>
          <w:p>
            <w:pPr>
              <w:spacing w:after="0"/>
              <w:rPr>
                <w:sz w:val="1"/>
                <w:szCs w:val="1"/>
                <w:color w:val="auto"/>
              </w:rPr>
            </w:pPr>
          </w:p>
        </w:tc>
      </w:tr>
      <w:tr>
        <w:trPr>
          <w:trHeight w:val="211"/>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3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(2,590)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(3,348)</w:t>
            </w:r>
          </w:p>
        </w:tc>
        <w:tc>
          <w:tcPr>
            <w:tcW w:w="11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foreign operation</w:t>
            </w:r>
          </w:p>
        </w:tc>
        <w:tc>
          <w:tcPr>
            <w:tcW w:w="134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2,350</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4,313</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(1,399)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(2,459)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15,521</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15,504</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30,788</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31,297</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8,609</w:t>
            </w: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6,078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29,934</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26,793</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53,070</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38,666</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446"/>
        </w:trPr>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Reconciliation of Revenue to Contribution ex-TAC</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Borders>
              <w:bottom w:val="single" w:sz="8" w:color="auto"/>
            </w:tcBorders>
            <w:gridSpan w:val="10"/>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Borders>
              <w:bottom w:val="single" w:sz="8" w:color="auto"/>
            </w:tcBorders>
            <w:gridSpan w:val="9"/>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90,948</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88,577</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w:t>
            </w:r>
          </w:p>
        </w:tc>
        <w:tc>
          <w:tcPr>
            <w:tcW w:w="1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169,278</w:t>
            </w:r>
          </w:p>
        </w:tc>
        <w:tc>
          <w:tcPr>
            <w:tcW w:w="1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163,009</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1"/>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4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(12,057)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(15,557)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(23,256)</w:t>
            </w:r>
          </w:p>
        </w:tc>
        <w:tc>
          <w:tcPr>
            <w:tcW w:w="132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(30,095)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(24,825)</w:t>
            </w:r>
          </w:p>
        </w:tc>
        <w:tc>
          <w:tcPr>
            <w:tcW w:w="132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(23,215)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4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(IFRS)</w:t>
            </w: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66,360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61,571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121,197</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109,699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11,449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24,825</w:t>
            </w:r>
          </w:p>
        </w:tc>
        <w:tc>
          <w:tcPr>
            <w:tcW w:w="132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23,215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attributable to cost of revenue</w:t>
            </w:r>
          </w:p>
        </w:tc>
        <w:tc>
          <w:tcPr>
            <w:tcW w:w="134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132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w:t>
            </w:r>
          </w:p>
        </w:tc>
        <w:tc>
          <w:tcPr>
            <w:tcW w:w="13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12,057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15,557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23,256</w:t>
            </w:r>
          </w:p>
        </w:tc>
        <w:tc>
          <w:tcPr>
            <w:tcW w:w="13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30,095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132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Performance media cost</w:t>
            </w: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(5,449)</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(6,483)</w:t>
            </w:r>
          </w:p>
        </w:tc>
        <w:tc>
          <w:tcPr>
            <w:tcW w:w="13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(10,199)</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Contribution ex-TAC (Non-IFRS)</w:t>
            </w: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87,807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83,128</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162,795</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152,810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437"/>
        </w:trPr>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Non-IFRS Net Income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8,666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2,916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197%</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10,299</w:t>
            </w:r>
          </w:p>
        </w:tc>
        <w:tc>
          <w:tcPr>
            <w:tcW w:w="18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(3,958)</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360%</w:t>
            </w: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5,912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11,782</w:t>
            </w: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14,099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Delisting related one-time costs</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8,609</w:t>
            </w: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6,078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expenses, net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Tax effect of Non-IFRS</w:t>
            </w:r>
          </w:p>
        </w:tc>
        <w:tc>
          <w:tcPr>
            <w:tcW w:w="13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(2,083)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(2,306)</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(3,367)</w:t>
            </w:r>
          </w:p>
        </w:tc>
        <w:tc>
          <w:tcPr>
            <w:tcW w:w="13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(3,951)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200" w:type="dxa"/>
            <w:vAlign w:val="bottom"/>
          </w:tcPr>
          <w:p>
            <w:pPr>
              <w:ind w:left="280"/>
              <w:spacing w:after="0" w:line="243"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8"/>
                <w:szCs w:val="28"/>
                <w:color w:val="auto"/>
                <w:vertAlign w:val="superscript"/>
              </w:rPr>
              <w:t>(1)</w:t>
            </w:r>
          </w:p>
        </w:tc>
        <w:tc>
          <w:tcPr>
            <w:tcW w:w="134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4"/>
            <w:vMerge w:val="continue"/>
          </w:tcPr>
          <w:p>
            <w:pPr>
              <w:spacing w:after="0"/>
              <w:rPr>
                <w:sz w:val="21"/>
                <w:szCs w:val="21"/>
                <w:color w:val="auto"/>
              </w:rPr>
            </w:pPr>
          </w:p>
        </w:tc>
        <w:tc>
          <w:tcPr>
            <w:tcW w:w="132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net income</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18,204</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12,584</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28,843</w:t>
            </w: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13,756</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CEEFF"/>
          </w:tcPr>
          <w:p>
            <w:pPr>
              <w:spacing w:after="0"/>
              <w:rPr>
                <w:sz w:val="18"/>
                <w:szCs w:val="18"/>
                <w:color w:val="auto"/>
              </w:rPr>
            </w:pPr>
          </w:p>
        </w:tc>
        <w:tc>
          <w:tcPr>
            <w:tcW w:w="11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 (in millions) (2) (*)</w:t>
            </w:r>
          </w:p>
        </w:tc>
        <w:tc>
          <w:tcPr>
            <w:tcW w:w="116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diluted earnings per share</w:t>
            </w:r>
          </w:p>
        </w:tc>
        <w:tc>
          <w:tcPr>
            <w:tcW w:w="11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0.18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w:t>
            </w:r>
          </w:p>
        </w:tc>
        <w:tc>
          <w:tcPr>
            <w:tcW w:w="11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0.45</w:t>
            </w:r>
          </w:p>
        </w:tc>
        <w:tc>
          <w:tcPr>
            <w:tcW w:w="180" w:type="dxa"/>
            <w:vAlign w:val="bottom"/>
            <w:shd w:val="clear" w:color="auto" w:fill="CCEEFF"/>
          </w:tcPr>
          <w:p>
            <w:pPr>
              <w:spacing w:after="0"/>
              <w:rPr>
                <w:sz w:val="18"/>
                <w:szCs w:val="18"/>
                <w:color w:val="auto"/>
              </w:rPr>
            </w:pPr>
          </w:p>
        </w:tc>
        <w:tc>
          <w:tcPr>
            <w:tcW w:w="11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(in USD) (*)</w:t>
            </w:r>
          </w:p>
        </w:tc>
        <w:tc>
          <w:tcPr>
            <w:tcW w:w="116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gridSpan w:val="3"/>
            <w:vMerge w:val="continue"/>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3"/>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net income includes the estimated tax impact from the expense items reconciling between net income (loss) and non-IFRS net income</w:t>
      </w:r>
    </w:p>
    <w:p>
      <w:pPr>
        <w:spacing w:after="0" w:line="27"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Non-IFRS earnings per share is computed using the same weighted-average number of shares that are used to compute IFRS earnings (loss) per share</w:t>
      </w:r>
    </w:p>
    <w:p>
      <w:pPr>
        <w:spacing w:after="0" w:line="181" w:lineRule="exact"/>
        <w:rPr>
          <w:sz w:val="20"/>
          <w:szCs w:val="20"/>
          <w:color w:val="auto"/>
        </w:rPr>
      </w:pPr>
    </w:p>
    <w:p>
      <w:pPr>
        <w:jc w:val="both"/>
        <w:ind w:firstLine="8"/>
        <w:spacing w:after="0" w:line="281"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financial statements on Form 20-F, filed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187,068</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184,016</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217,960</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tax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327,931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412,980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assets, net</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14,889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328,833</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336,768</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17,800</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shares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412,943</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740,874</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maturities of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14,250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14,340</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228,514</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payables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42,108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38,526</w:t>
            </w: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4,677</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242,349</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Employee benefits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17,398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23,602</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260,585</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309,659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298,332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r>
      <w:tr>
        <w:trPr>
          <w:trHeight w:val="237"/>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480,289</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740,874</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840,513</w:t>
            </w:r>
          </w:p>
        </w:tc>
      </w:tr>
      <w:tr>
        <w:trPr>
          <w:trHeight w:val="406"/>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OPERATION AND OTHER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59"/>
        </w:trPr>
        <w:tc>
          <w:tcPr>
            <w:tcW w:w="5980" w:type="dxa"/>
            <w:vAlign w:val="bottom"/>
          </w:tcPr>
          <w:p>
            <w:pPr>
              <w:spacing w:after="0"/>
              <w:rPr>
                <w:sz w:val="22"/>
                <w:szCs w:val="22"/>
                <w:color w:val="auto"/>
              </w:rPr>
            </w:pPr>
          </w:p>
        </w:tc>
        <w:tc>
          <w:tcPr>
            <w:tcW w:w="27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8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9"/>
              </w:rPr>
              <w:t>thousands</w:t>
            </w:r>
          </w:p>
        </w:tc>
        <w:tc>
          <w:tcPr>
            <w:tcW w:w="22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 thousands</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169,278</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163,009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88,577</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 shown separately</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15,557</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12,531</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60,161</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29,580</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7,560</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15,504</w:t>
            </w: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133,869</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66,663</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13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(3,741)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2,934</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expenses (income), net</w:t>
            </w:r>
          </w:p>
        </w:tc>
        <w:tc>
          <w:tcPr>
            <w:tcW w:w="1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(2,459)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 on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for the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items: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 for foreign operation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for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2,924</w:t>
            </w:r>
          </w:p>
        </w:tc>
      </w:tr>
      <w:tr>
        <w:trPr>
          <w:trHeight w:val="210"/>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 (in USD)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(in USD)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bl>
    <w:p>
      <w:pPr>
        <w:spacing w:after="0" w:line="198" w:lineRule="exact"/>
        <w:rPr>
          <w:sz w:val="20"/>
          <w:szCs w:val="20"/>
          <w:color w:val="auto"/>
        </w:rPr>
      </w:pPr>
    </w:p>
    <w:p>
      <w:pPr>
        <w:jc w:val="both"/>
        <w:ind w:firstLine="8"/>
        <w:spacing w:after="0" w:line="281"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results have been retroactively adjusted to reflect the Company’s two-for-one reverse share split and the changes in par value from NIS 0.01 to NIS 0.02 effected on February 14, 2025. See also Note 1a of the Company’s annual financial statements on Form 20-F, filed on March 5, 2025,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4620" w:type="dxa"/>
            <w:vAlign w:val="bottom"/>
          </w:tcPr>
          <w:p>
            <w:pPr>
              <w:spacing w:after="0"/>
              <w:rPr>
                <w:sz w:val="22"/>
                <w:szCs w:val="22"/>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2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USD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362,507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530,854</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10,299</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3,348</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13,647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(71,932)</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(71,974)</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7,380</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7,380</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480,289</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410,563</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543,548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 recognized directly in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(23,352)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(23,376)</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6,196</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6,196</w:t>
            </w: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394,026</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522,629</w:t>
            </w:r>
          </w:p>
        </w:tc>
      </w:tr>
      <w:tr>
        <w:trPr>
          <w:trHeight w:val="405"/>
        </w:trPr>
        <w:tc>
          <w:tcPr>
            <w:tcW w:w="46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INTERIM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USD</w:t>
            </w:r>
          </w:p>
        </w:tc>
        <w:tc>
          <w:tcPr>
            <w:tcW w:w="13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7"/>
              </w:rPr>
              <w:t>thousands</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 (loss) for the period</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10,299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(3,958)</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30,788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31,297</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financing expense (income)</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(gain) on leases modification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Remeasurement of net investment in a finance lease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Share-based compensation and restricted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6,078</w:t>
            </w:r>
          </w:p>
        </w:tc>
      </w:tr>
      <w:tr>
        <w:trPr>
          <w:trHeight w:val="230"/>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trade and other receivables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33,071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13,740</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trade and other payables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(39,457)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9,136</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 in employee benefits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received</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29"/>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paid</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(9,999)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(1,858)</w:t>
            </w:r>
          </w:p>
        </w:tc>
      </w:tr>
      <w:tr>
        <w:trPr>
          <w:trHeight w:val="229"/>
        </w:trPr>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received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3,540</w:t>
            </w:r>
          </w:p>
        </w:tc>
      </w:tr>
      <w:tr>
        <w:trPr>
          <w:trHeight w:val="237"/>
        </w:trPr>
        <w:tc>
          <w:tcPr>
            <w:tcW w:w="8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(4,793)</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58,669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pledged deposits, net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 on finance lease receivable</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of fixed assets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(5,042)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(3,323)</w:t>
            </w:r>
          </w:p>
        </w:tc>
      </w:tr>
      <w:tr>
        <w:trPr>
          <w:trHeight w:val="229"/>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debt investment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and capitalization of intangible assets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(8,152)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(7,456)</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(12,700)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(9,617)</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own shares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(72,562)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(23,023)</w:t>
            </w:r>
          </w:p>
        </w:tc>
      </w:tr>
      <w:tr>
        <w:trPr>
          <w:trHeight w:val="229"/>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Leases repayment</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(7,453)</w:t>
            </w:r>
          </w:p>
        </w:tc>
      </w:tr>
      <w:tr>
        <w:trPr>
          <w:trHeight w:val="237"/>
        </w:trPr>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236"/>
        </w:trPr>
        <w:tc>
          <w:tcPr>
            <w:tcW w:w="8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(56,496)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(80,801)</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BEGINNING OF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234,308</w:t>
            </w: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AND CASH EQUIVALENTS</w:t>
            </w: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(1,647)</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151,860</w:t>
            </w:r>
          </w:p>
        </w:tc>
      </w:tr>
      <w:tr>
        <w:trPr>
          <w:trHeight w:val="304"/>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2025-08-13T07:53:49Z</dcterms:created>
  <dcterms:modified xsi:type="dcterms:W3CDTF">2025-08-13T07:53:49Z</dcterms:modified>
</cp:coreProperties>
</file>