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46" w:lineRule="exact"/>
        <w:rPr>
          <w:sz w:val="24"/>
          <w:szCs w:val="24"/>
          <w:color w:val="auto"/>
        </w:rPr>
      </w:pPr>
    </w:p>
    <w:p>
      <w:pPr>
        <w:ind w:left="2200" w:right="1839" w:hanging="380"/>
        <w:spacing w:after="0" w:line="334" w:lineRule="auto"/>
        <w:tabs>
          <w:tab w:leader="none" w:pos="201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2860" w:right="1699" w:hanging="1181"/>
        <w:spacing w:after="0" w:line="286" w:lineRule="auto"/>
        <w:tabs>
          <w:tab w:leader="none" w:pos="18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2640" w:right="1719" w:hanging="934"/>
        <w:spacing w:after="0" w:line="286" w:lineRule="auto"/>
        <w:tabs>
          <w:tab w:leader="none" w:pos="1911"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1840" w:hanging="202"/>
        <w:spacing w:after="0"/>
        <w:tabs>
          <w:tab w:leader="none" w:pos="18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w:t>
      </w:r>
    </w:p>
    <w:p>
      <w:pPr>
        <w:spacing w:after="0" w:line="46"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001-40504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Israel</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82 Yigal Alon Street</w:t>
      </w:r>
    </w:p>
    <w:p>
      <w:pPr>
        <w:spacing w:after="0" w:line="2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Tel Aviv, 6789124, Israel</w:t>
      </w:r>
    </w:p>
    <w:p>
      <w:pPr>
        <w:spacing w:after="0" w:line="2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+972-3-545-3900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Sagi Niri</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sniri@nexxen.com</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82 Yigal Alon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Aviv, 6789124, Israel</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+972-3-545-3900</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144780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auto"/>
            </w:tcBorders>
          </w:tcPr>
          <w:p>
            <w:pPr>
              <w:spacing w:after="0"/>
              <w:rPr>
                <w:sz w:val="23"/>
                <w:szCs w:val="23"/>
                <w:color w:val="auto"/>
              </w:rPr>
            </w:pP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64"/>
        </w:trPr>
        <w:tc>
          <w:tcPr>
            <w:tcW w:w="40" w:type="dxa"/>
            <w:vAlign w:val="bottom"/>
            <w:tcBorders>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shd w:val="clear" w:color="auto" w:fill="000000"/>
          </w:tcPr>
          <w:p>
            <w:pPr>
              <w:spacing w:after="0"/>
              <w:rPr>
                <w:sz w:val="19"/>
                <w:szCs w:val="19"/>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w:t>
            </w:r>
          </w:p>
        </w:tc>
        <w:tc>
          <w:tcPr>
            <w:tcW w:w="3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NEXN</w:t>
            </w:r>
          </w:p>
        </w:tc>
        <w:tc>
          <w:tcPr>
            <w:tcW w:w="3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NIS 0.02 per share</w:t>
            </w:r>
          </w:p>
        </w:tc>
        <w:tc>
          <w:tcPr>
            <w:tcW w:w="3360" w:type="dxa"/>
            <w:vAlign w:val="bottom"/>
            <w:tcBorders>
              <w:right w:val="single" w:sz="8" w:color="auto"/>
            </w:tcBorders>
            <w:vMerge w:val="continue"/>
          </w:tcPr>
          <w:p>
            <w:pPr>
              <w:spacing w:after="0"/>
              <w:rPr>
                <w:sz w:val="20"/>
                <w:szCs w:val="20"/>
                <w:color w:val="auto"/>
              </w:rPr>
            </w:pPr>
          </w:p>
        </w:tc>
        <w:tc>
          <w:tcPr>
            <w:tcW w:w="39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56,284,083 ordinary shares, par value NIS 0.02 per share (excluding Treasury Shares) as of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1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“large accelerated filer,” “accelerated filer” and “emerging growth company” in Rule 12b-2 of the Exchange Act.</w:t>
      </w:r>
    </w:p>
    <w:p>
      <w:pPr>
        <w:spacing w:after="0" w:line="237" w:lineRule="exact"/>
        <w:rPr>
          <w:sz w:val="20"/>
          <w:szCs w:val="20"/>
          <w:color w:val="auto"/>
        </w:rPr>
      </w:pPr>
    </w:p>
    <w:tbl>
      <w:tblPr>
        <w:tblLayout w:type="fixed"/>
        <w:tblInd w:w="30" w:type="dxa"/>
        <w:tblCellMar>
          <w:top w:w="0" w:type="dxa"/>
          <w:left w:w="0" w:type="dxa"/>
          <w:bottom w:w="0" w:type="dxa"/>
          <w:right w:w="0" w:type="dxa"/>
        </w:tblCellMar>
      </w:tblPr>
      <w:tr>
        <w:trPr>
          <w:trHeight w:val="318"/>
        </w:trPr>
        <w:tc>
          <w:tcPr>
            <w:tcW w:w="2860" w:type="dxa"/>
            <w:vAlign w:val="bottom"/>
            <w:tcBorders>
              <w:top w:val="single" w:sz="8" w:color="auto"/>
              <w:left w:val="single" w:sz="8" w:color="auto"/>
              <w:bottom w:val="single" w:sz="8" w:color="auto"/>
              <w:right w:val="single" w:sz="8" w:color="auto"/>
            </w:tcBorders>
          </w:tcPr>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280" w:type="dxa"/>
            <w:vAlign w:val="bottom"/>
            <w:tcBorders>
              <w:top w:val="single" w:sz="8" w:color="auto"/>
              <w:bottom w:val="single" w:sz="8" w:color="auto"/>
              <w:right w:val="single" w:sz="8" w:color="auto"/>
            </w:tcBorders>
          </w:tcPr>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740" w:type="dxa"/>
            <w:vAlign w:val="bottom"/>
            <w:tcBorders>
              <w:top w:val="single" w:sz="8" w:color="auto"/>
              <w:bottom w:val="single" w:sz="8" w:color="auto"/>
              <w:right w:val="single" w:sz="8" w:color="auto"/>
            </w:tcBorders>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340" w:type="dxa"/>
            <w:vAlign w:val="bottom"/>
            <w:tcBorders>
              <w:top w:val="single" w:sz="8" w:color="auto"/>
              <w:bottom w:val="single" w:sz="8" w:color="auto"/>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211"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5" w:lineRule="exact"/>
        <w:rPr>
          <w:sz w:val="20"/>
          <w:szCs w:val="20"/>
          <w:color w:val="auto"/>
        </w:rPr>
      </w:pPr>
    </w:p>
    <w:p>
      <w:pPr>
        <w:ind w:firstLine="8"/>
        <w:spacing w:after="0" w:line="297" w:lineRule="auto"/>
        <w:tabs>
          <w:tab w:leader="none" w:pos="1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3"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5"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237" w:lineRule="exact"/>
        <w:rPr>
          <w:sz w:val="20"/>
          <w:szCs w:val="20"/>
          <w:color w:val="auto"/>
        </w:rPr>
      </w:pPr>
    </w:p>
    <w:tbl>
      <w:tblPr>
        <w:tblLayout w:type="fixed"/>
        <w:tblInd w:w="30" w:type="dxa"/>
        <w:tblCellMar>
          <w:top w:w="0" w:type="dxa"/>
          <w:left w:w="0" w:type="dxa"/>
          <w:bottom w:w="0" w:type="dxa"/>
          <w:right w:w="0" w:type="dxa"/>
        </w:tblCellMar>
      </w:tblPr>
      <w:tr>
        <w:trPr>
          <w:trHeight w:val="317"/>
        </w:trPr>
        <w:tc>
          <w:tcPr>
            <w:tcW w:w="1640" w:type="dxa"/>
            <w:vAlign w:val="bottom"/>
            <w:tcBorders>
              <w:top w:val="single" w:sz="8" w:color="auto"/>
              <w:left w:val="single" w:sz="8" w:color="auto"/>
              <w:bottom w:val="single" w:sz="8" w:color="auto"/>
              <w:righ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p>
        </w:tc>
        <w:tc>
          <w:tcPr>
            <w:tcW w:w="8440" w:type="dxa"/>
            <w:vAlign w:val="bottom"/>
            <w:tcBorders>
              <w:top w:val="single" w:sz="8" w:color="auto"/>
              <w:bottom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tc>
        <w:tc>
          <w:tcPr>
            <w:tcW w:w="1140" w:type="dxa"/>
            <w:vAlign w:val="bottom"/>
            <w:tcBorders>
              <w:top w:val="single" w:sz="8" w:color="auto"/>
              <w:bottom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Other </w:t>
            </w:r>
            <w:r>
              <w:rPr>
                <w:rFonts w:ascii="MS PGothic" w:cs="MS PGothic" w:eastAsia="MS PGothic" w:hAnsi="MS PGothic"/>
                <w:sz w:val="18"/>
                <w:szCs w:val="18"/>
                <w:color w:val="auto"/>
              </w:rPr>
              <w:t>☐</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148"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98"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285"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INTRODUCTION AND USE OF CERTAIN TERMS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49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8"/>
              </w:rPr>
              <w:t>PRESENTATION OF FINANCIAL AND OTHER INFORMATION</w:t>
            </w:r>
          </w:p>
        </w:tc>
        <w:tc>
          <w:tcPr>
            <w:tcW w:w="4200" w:type="dxa"/>
            <w:vAlign w:val="bottom"/>
            <w:gridSpan w:val="8"/>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9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TRADEMARKS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MARKET INFORMATION</w:t>
            </w:r>
          </w:p>
        </w:tc>
        <w:tc>
          <w:tcPr>
            <w:tcW w:w="7120" w:type="dxa"/>
            <w:vAlign w:val="bottom"/>
            <w:gridSpan w:val="26"/>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9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8"/>
              </w:rPr>
              <w:t>SPECIAL NOTE REGARDING FORWARD-LOOKING STATEMENTS AND RISK FACTOR SUMMARY</w:t>
            </w:r>
          </w:p>
        </w:tc>
        <w:tc>
          <w:tcPr>
            <w:tcW w:w="1240" w:type="dxa"/>
            <w:vAlign w:val="bottom"/>
            <w:gridSpan w:val="2"/>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91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PART I</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6280" w:type="dxa"/>
            <w:vAlign w:val="bottom"/>
            <w:tcBorders>
              <w:bottom w:val="single" w:sz="8" w:color="0000EE"/>
            </w:tcBorders>
            <w:gridSpan w:val="30"/>
          </w:tcPr>
          <w:p>
            <w:pPr>
              <w:ind w:left="20"/>
              <w:spacing w:after="0"/>
              <w:rPr>
                <w:sz w:val="20"/>
                <w:szCs w:val="20"/>
                <w:color w:val="auto"/>
              </w:rPr>
            </w:pPr>
            <w:r>
              <w:rPr>
                <w:rFonts w:ascii="Times New Roman" w:cs="Times New Roman" w:eastAsia="Times New Roman" w:hAnsi="Times New Roman"/>
                <w:sz w:val="18"/>
                <w:szCs w:val="18"/>
                <w:color w:val="0000EE"/>
                <w:w w:val="99"/>
              </w:rPr>
              <w:t>ITEM 1. IDENTITY OF DIRECTORS, SENIOR MANAGEMENT AND ADVISERS</w:t>
            </w:r>
          </w:p>
        </w:tc>
        <w:tc>
          <w:tcPr>
            <w:tcW w:w="2740" w:type="dxa"/>
            <w:vAlign w:val="bottom"/>
            <w:gridSpan w:val="3"/>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160" w:type="dxa"/>
            <w:vAlign w:val="bottom"/>
          </w:tcPr>
          <w:p>
            <w:pPr>
              <w:spacing w:after="0"/>
              <w:rPr>
                <w:sz w:val="18"/>
                <w:szCs w:val="18"/>
                <w:color w:val="auto"/>
              </w:rPr>
            </w:pPr>
          </w:p>
        </w:tc>
        <w:tc>
          <w:tcPr>
            <w:tcW w:w="4700" w:type="dxa"/>
            <w:vAlign w:val="bottom"/>
            <w:tcBorders>
              <w:bottom w:val="single" w:sz="8" w:color="0000EE"/>
            </w:tcBorders>
            <w:gridSpan w:val="23"/>
          </w:tcPr>
          <w:p>
            <w:pPr>
              <w:ind w:left="20"/>
              <w:spacing w:after="0"/>
              <w:rPr>
                <w:sz w:val="20"/>
                <w:szCs w:val="20"/>
                <w:color w:val="auto"/>
              </w:rPr>
            </w:pPr>
            <w:r>
              <w:rPr>
                <w:rFonts w:ascii="Times New Roman" w:cs="Times New Roman" w:eastAsia="Times New Roman" w:hAnsi="Times New Roman"/>
                <w:sz w:val="18"/>
                <w:szCs w:val="18"/>
                <w:color w:val="0000EE"/>
                <w:w w:val="98"/>
              </w:rPr>
              <w:t>ITEM 2. OFFER STATISTICS AND EXPECTED TIMETABLE</w:t>
            </w:r>
          </w:p>
        </w:tc>
        <w:tc>
          <w:tcPr>
            <w:tcW w:w="4320" w:type="dxa"/>
            <w:vAlign w:val="bottom"/>
            <w:gridSpan w:val="10"/>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160" w:type="dxa"/>
            <w:vAlign w:val="bottom"/>
          </w:tcPr>
          <w:p>
            <w:pPr>
              <w:spacing w:after="0"/>
              <w:rPr>
                <w:sz w:val="18"/>
                <w:szCs w:val="18"/>
                <w:color w:val="auto"/>
              </w:rPr>
            </w:pP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EE"/>
              </w:rPr>
              <w:t>ITEM 3. KEY INFORMATION</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[RESERVED]</w:t>
            </w:r>
          </w:p>
        </w:tc>
        <w:tc>
          <w:tcPr>
            <w:tcW w:w="6700" w:type="dxa"/>
            <w:vAlign w:val="bottom"/>
            <w:gridSpan w:val="23"/>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B.</w:t>
            </w:r>
            <w:r>
              <w:rPr>
                <w:rFonts w:ascii="Times New Roman" w:cs="Times New Roman" w:eastAsia="Times New Roman" w:hAnsi="Times New Roman"/>
                <w:sz w:val="18"/>
                <w:szCs w:val="18"/>
                <w:color w:val="0000EE"/>
                <w:w w:val="99"/>
              </w:rPr>
              <w:t xml:space="preserve"> CAPITALIZATION AND INDEBTEDNESS</w:t>
            </w:r>
          </w:p>
        </w:tc>
        <w:tc>
          <w:tcPr>
            <w:tcW w:w="5160" w:type="dxa"/>
            <w:vAlign w:val="bottom"/>
            <w:gridSpan w:val="12"/>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C.</w:t>
            </w:r>
            <w:r>
              <w:rPr>
                <w:rFonts w:ascii="Times New Roman" w:cs="Times New Roman" w:eastAsia="Times New Roman" w:hAnsi="Times New Roman"/>
                <w:sz w:val="18"/>
                <w:szCs w:val="18"/>
                <w:color w:val="0000EE"/>
                <w:w w:val="99"/>
              </w:rPr>
              <w:t xml:space="preserve"> REASONS FOR THE OFFER AND USE OF PROCEEDS</w:t>
            </w:r>
          </w:p>
        </w:tc>
        <w:tc>
          <w:tcPr>
            <w:tcW w:w="4220" w:type="dxa"/>
            <w:vAlign w:val="bottom"/>
            <w:gridSpan w:val="9"/>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D.</w:t>
            </w:r>
            <w:r>
              <w:rPr>
                <w:rFonts w:ascii="Times New Roman" w:cs="Times New Roman" w:eastAsia="Times New Roman" w:hAnsi="Times New Roman"/>
                <w:sz w:val="18"/>
                <w:szCs w:val="18"/>
                <w:color w:val="0000EE"/>
                <w:w w:val="97"/>
              </w:rPr>
              <w:t xml:space="preserve"> RISK FACTORS</w:t>
            </w:r>
          </w:p>
        </w:tc>
        <w:tc>
          <w:tcPr>
            <w:tcW w:w="7240" w:type="dxa"/>
            <w:vAlign w:val="bottom"/>
            <w:gridSpan w:val="27"/>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160" w:type="dxa"/>
            <w:vAlign w:val="bottom"/>
          </w:tcPr>
          <w:p>
            <w:pPr>
              <w:spacing w:after="0"/>
              <w:rPr>
                <w:sz w:val="18"/>
                <w:szCs w:val="18"/>
                <w:color w:val="auto"/>
              </w:rPr>
            </w:pPr>
          </w:p>
        </w:tc>
        <w:tc>
          <w:tcPr>
            <w:tcW w:w="902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0000EE"/>
              </w:rPr>
              <w:t>ITEM 4. INFORMATION ON THE COMPANY</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30</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HISTORY AND DEVELOPMENT OF THE COMPANY</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30</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4.</w:t>
            </w:r>
            <w:r>
              <w:rPr>
                <w:rFonts w:ascii="Times New Roman" w:cs="Times New Roman" w:eastAsia="Times New Roman" w:hAnsi="Times New Roman"/>
                <w:sz w:val="18"/>
                <w:szCs w:val="18"/>
                <w:u w:val="single" w:color="auto"/>
                <w:color w:val="0000EE"/>
                <w:w w:val="98"/>
              </w:rPr>
              <w:t>B.</w:t>
            </w:r>
            <w:r>
              <w:rPr>
                <w:rFonts w:ascii="Times New Roman" w:cs="Times New Roman" w:eastAsia="Times New Roman" w:hAnsi="Times New Roman"/>
                <w:sz w:val="18"/>
                <w:szCs w:val="18"/>
                <w:color w:val="0000EE"/>
                <w:w w:val="98"/>
              </w:rPr>
              <w:t xml:space="preserve"> BUSINESS OVERVIEW</w:t>
            </w:r>
          </w:p>
        </w:tc>
        <w:tc>
          <w:tcPr>
            <w:tcW w:w="2340" w:type="dxa"/>
            <w:vAlign w:val="bottom"/>
            <w:tcBorders>
              <w:top w:val="single" w:sz="8" w:color="0000EE"/>
            </w:tcBorders>
            <w:gridSpan w:val="11"/>
          </w:tcPr>
          <w:p>
            <w:pPr>
              <w:spacing w:after="0"/>
              <w:rPr>
                <w:sz w:val="18"/>
                <w:szCs w:val="18"/>
                <w:color w:val="auto"/>
              </w:rPr>
            </w:pPr>
          </w:p>
        </w:tc>
        <w:tc>
          <w:tcPr>
            <w:tcW w:w="4320" w:type="dxa"/>
            <w:vAlign w:val="bottom"/>
            <w:gridSpan w:val="10"/>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31</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ORGANIZATIONAL STRUCTURE</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PROPERTY, PLANTS AND EQUIPMENT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46</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4A. UNRESOLVED STAFF COMMENTS</w:t>
            </w:r>
          </w:p>
        </w:tc>
        <w:tc>
          <w:tcPr>
            <w:tcW w:w="5280" w:type="dxa"/>
            <w:vAlign w:val="bottom"/>
            <w:gridSpan w:val="13"/>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340" w:type="dxa"/>
            <w:vAlign w:val="bottom"/>
            <w:tcBorders>
              <w:bottom w:val="single" w:sz="8" w:color="0000EE"/>
            </w:tcBorders>
            <w:gridSpan w:val="27"/>
          </w:tcPr>
          <w:p>
            <w:pPr>
              <w:ind w:left="20"/>
              <w:spacing w:after="0"/>
              <w:rPr>
                <w:sz w:val="20"/>
                <w:szCs w:val="20"/>
                <w:color w:val="auto"/>
              </w:rPr>
            </w:pPr>
            <w:r>
              <w:rPr>
                <w:rFonts w:ascii="Times New Roman" w:cs="Times New Roman" w:eastAsia="Times New Roman" w:hAnsi="Times New Roman"/>
                <w:sz w:val="18"/>
                <w:szCs w:val="18"/>
                <w:color w:val="0000EE"/>
                <w:w w:val="99"/>
              </w:rPr>
              <w:t>ITEM 5. OPERATING AND FINANCIAL REVIEW AND PROSPECTS</w:t>
            </w:r>
          </w:p>
        </w:tc>
        <w:tc>
          <w:tcPr>
            <w:tcW w:w="3680" w:type="dxa"/>
            <w:vAlign w:val="bottom"/>
            <w:gridSpan w:val="6"/>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46</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A.</w:t>
            </w:r>
            <w:r>
              <w:rPr>
                <w:rFonts w:ascii="Times New Roman" w:cs="Times New Roman" w:eastAsia="Times New Roman" w:hAnsi="Times New Roman"/>
                <w:sz w:val="18"/>
                <w:szCs w:val="18"/>
                <w:color w:val="0000EE"/>
                <w:w w:val="97"/>
              </w:rPr>
              <w:t xml:space="preserve"> OPERATING RESULTS</w:t>
            </w:r>
          </w:p>
        </w:tc>
        <w:tc>
          <w:tcPr>
            <w:tcW w:w="6680" w:type="dxa"/>
            <w:vAlign w:val="bottom"/>
            <w:gridSpan w:val="22"/>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47</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LIQUIDITY AND CAPITAL RESOURCES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60</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C.</w:t>
            </w:r>
            <w:r>
              <w:rPr>
                <w:rFonts w:ascii="Times New Roman" w:cs="Times New Roman" w:eastAsia="Times New Roman" w:hAnsi="Times New Roman"/>
                <w:sz w:val="18"/>
                <w:szCs w:val="18"/>
                <w:color w:val="0000EE"/>
                <w:w w:val="98"/>
              </w:rPr>
              <w:t xml:space="preserve"> RESEARCH AND DEVELOPMENT, PATENTS AND LICENSES</w:t>
            </w:r>
          </w:p>
        </w:tc>
        <w:tc>
          <w:tcPr>
            <w:tcW w:w="3600" w:type="dxa"/>
            <w:vAlign w:val="bottom"/>
            <w:gridSpan w:val="5"/>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62</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D.</w:t>
            </w:r>
            <w:r>
              <w:rPr>
                <w:rFonts w:ascii="Times New Roman" w:cs="Times New Roman" w:eastAsia="Times New Roman" w:hAnsi="Times New Roman"/>
                <w:sz w:val="18"/>
                <w:szCs w:val="18"/>
                <w:color w:val="0000EE"/>
                <w:w w:val="98"/>
              </w:rPr>
              <w:t xml:space="preserve"> TREND INFORMATION</w:t>
            </w:r>
          </w:p>
        </w:tc>
        <w:tc>
          <w:tcPr>
            <w:tcW w:w="6600" w:type="dxa"/>
            <w:vAlign w:val="bottom"/>
            <w:gridSpan w:val="20"/>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62</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E.</w:t>
            </w:r>
            <w:r>
              <w:rPr>
                <w:rFonts w:ascii="Times New Roman" w:cs="Times New Roman" w:eastAsia="Times New Roman" w:hAnsi="Times New Roman"/>
                <w:sz w:val="18"/>
                <w:szCs w:val="18"/>
                <w:color w:val="0000EE"/>
              </w:rPr>
              <w:t xml:space="preserve"> CRITICAL ACCOUNTING ESTIMATES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300" w:type="dxa"/>
            <w:vAlign w:val="bottom"/>
            <w:tcBorders>
              <w:bottom w:val="single" w:sz="8" w:color="0000EE"/>
            </w:tcBorders>
            <w:gridSpan w:val="26"/>
          </w:tcPr>
          <w:p>
            <w:pPr>
              <w:ind w:left="20"/>
              <w:spacing w:after="0"/>
              <w:rPr>
                <w:sz w:val="20"/>
                <w:szCs w:val="20"/>
                <w:color w:val="auto"/>
              </w:rPr>
            </w:pPr>
            <w:r>
              <w:rPr>
                <w:rFonts w:ascii="Times New Roman" w:cs="Times New Roman" w:eastAsia="Times New Roman" w:hAnsi="Times New Roman"/>
                <w:sz w:val="18"/>
                <w:szCs w:val="18"/>
                <w:color w:val="0000EE"/>
                <w:w w:val="99"/>
              </w:rPr>
              <w:t>ITEM 6. DIRECTORS, SENIOR MANAGEMENT AND EMPLOYEES</w:t>
            </w:r>
          </w:p>
        </w:tc>
        <w:tc>
          <w:tcPr>
            <w:tcW w:w="3720" w:type="dxa"/>
            <w:vAlign w:val="bottom"/>
            <w:gridSpan w:val="7"/>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63</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6.</w:t>
            </w:r>
            <w:r>
              <w:rPr>
                <w:rFonts w:ascii="Times New Roman" w:cs="Times New Roman" w:eastAsia="Times New Roman" w:hAnsi="Times New Roman"/>
                <w:sz w:val="18"/>
                <w:szCs w:val="18"/>
                <w:u w:val="single" w:color="auto"/>
                <w:color w:val="0000EE"/>
                <w:w w:val="99"/>
              </w:rPr>
              <w:t>A.</w:t>
            </w:r>
            <w:r>
              <w:rPr>
                <w:rFonts w:ascii="Times New Roman" w:cs="Times New Roman" w:eastAsia="Times New Roman" w:hAnsi="Times New Roman"/>
                <w:sz w:val="18"/>
                <w:szCs w:val="18"/>
                <w:color w:val="0000EE"/>
                <w:w w:val="99"/>
              </w:rPr>
              <w:t xml:space="preserve"> DIRECTORS AND SENIOR MANAGEMENT</w:t>
            </w:r>
          </w:p>
        </w:tc>
        <w:tc>
          <w:tcPr>
            <w:tcW w:w="5020" w:type="dxa"/>
            <w:vAlign w:val="bottom"/>
            <w:gridSpan w:val="11"/>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63</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COMPENSATION</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65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BOARD PRACTICES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73</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EMPLOYEES</w:t>
            </w:r>
          </w:p>
        </w:tc>
        <w:tc>
          <w:tcPr>
            <w:tcW w:w="6860" w:type="dxa"/>
            <w:vAlign w:val="bottom"/>
            <w:gridSpan w:val="25"/>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6.</w:t>
            </w:r>
            <w:r>
              <w:rPr>
                <w:rFonts w:ascii="Times New Roman" w:cs="Times New Roman" w:eastAsia="Times New Roman" w:hAnsi="Times New Roman"/>
                <w:sz w:val="18"/>
                <w:szCs w:val="18"/>
                <w:u w:val="single" w:color="auto"/>
                <w:color w:val="0000EE"/>
                <w:w w:val="98"/>
              </w:rPr>
              <w:t>E.</w:t>
            </w:r>
            <w:r>
              <w:rPr>
                <w:rFonts w:ascii="Times New Roman" w:cs="Times New Roman" w:eastAsia="Times New Roman" w:hAnsi="Times New Roman"/>
                <w:sz w:val="18"/>
                <w:szCs w:val="18"/>
                <w:color w:val="0000EE"/>
                <w:w w:val="98"/>
              </w:rPr>
              <w:t xml:space="preserve"> SHARE OWNERSHIP</w:t>
            </w:r>
          </w:p>
        </w:tc>
        <w:tc>
          <w:tcPr>
            <w:tcW w:w="6820" w:type="dxa"/>
            <w:vAlign w:val="bottom"/>
            <w:gridSpan w:val="24"/>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83</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8"/>
              </w:rPr>
              <w:t>6.</w:t>
            </w:r>
            <w:r>
              <w:rPr>
                <w:rFonts w:ascii="Times New Roman" w:cs="Times New Roman" w:eastAsia="Times New Roman" w:hAnsi="Times New Roman"/>
                <w:sz w:val="18"/>
                <w:szCs w:val="18"/>
                <w:u w:val="single" w:color="auto"/>
                <w:color w:val="0000EE"/>
                <w:w w:val="98"/>
              </w:rPr>
              <w:t>F.</w:t>
            </w:r>
            <w:r>
              <w:rPr>
                <w:rFonts w:ascii="Times New Roman" w:cs="Times New Roman" w:eastAsia="Times New Roman" w:hAnsi="Times New Roman"/>
                <w:sz w:val="18"/>
                <w:szCs w:val="18"/>
                <w:color w:val="0000EE"/>
                <w:w w:val="98"/>
              </w:rPr>
              <w:t xml:space="preserve"> DISCLOSURE OF REGISTRANT’S ACTION TO RECOVER ERRONEOUSLY AWARDED COMPENSATION</w:t>
            </w:r>
          </w:p>
        </w:tc>
        <w:tc>
          <w:tcPr>
            <w:tcW w:w="22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83</w:t>
            </w:r>
          </w:p>
        </w:tc>
      </w:tr>
      <w:tr>
        <w:trPr>
          <w:trHeight w:val="209"/>
        </w:trPr>
        <w:tc>
          <w:tcPr>
            <w:tcW w:w="160" w:type="dxa"/>
            <w:vAlign w:val="bottom"/>
          </w:tcPr>
          <w:p>
            <w:pPr>
              <w:spacing w:after="0"/>
              <w:rPr>
                <w:sz w:val="18"/>
                <w:szCs w:val="18"/>
                <w:color w:val="auto"/>
              </w:rPr>
            </w:pPr>
          </w:p>
        </w:tc>
        <w:tc>
          <w:tcPr>
            <w:tcW w:w="6060" w:type="dxa"/>
            <w:vAlign w:val="bottom"/>
            <w:tcBorders>
              <w:bottom w:val="single" w:sz="8" w:color="0000EE"/>
            </w:tcBorders>
            <w:gridSpan w:val="29"/>
          </w:tcPr>
          <w:p>
            <w:pPr>
              <w:ind w:left="20"/>
              <w:spacing w:after="0"/>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2960" w:type="dxa"/>
            <w:vAlign w:val="bottom"/>
            <w:gridSpan w:val="4"/>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83</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MAJOR SHAREHOLDERS</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83</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1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7.</w:t>
            </w:r>
            <w:r>
              <w:rPr>
                <w:rFonts w:ascii="Times New Roman" w:cs="Times New Roman" w:eastAsia="Times New Roman" w:hAnsi="Times New Roman"/>
                <w:sz w:val="18"/>
                <w:szCs w:val="18"/>
                <w:u w:val="single" w:color="auto"/>
                <w:color w:val="0000EE"/>
                <w:w w:val="97"/>
              </w:rPr>
              <w:t>B.</w:t>
            </w:r>
            <w:r>
              <w:rPr>
                <w:rFonts w:ascii="Times New Roman" w:cs="Times New Roman" w:eastAsia="Times New Roman" w:hAnsi="Times New Roman"/>
                <w:sz w:val="18"/>
                <w:szCs w:val="18"/>
                <w:color w:val="0000EE"/>
                <w:w w:val="97"/>
              </w:rPr>
              <w:t xml:space="preserve"> RELATED PARTY TRANSACTIONS</w:t>
            </w:r>
          </w:p>
        </w:tc>
        <w:tc>
          <w:tcPr>
            <w:tcW w:w="5680" w:type="dxa"/>
            <w:vAlign w:val="bottom"/>
            <w:gridSpan w:val="16"/>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85</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C.</w:t>
            </w:r>
            <w:r>
              <w:rPr>
                <w:rFonts w:ascii="Times New Roman" w:cs="Times New Roman" w:eastAsia="Times New Roman" w:hAnsi="Times New Roman"/>
                <w:sz w:val="18"/>
                <w:szCs w:val="18"/>
                <w:color w:val="0000EE"/>
              </w:rPr>
              <w:t xml:space="preserve"> INTERESTS OF EXPERTS AND COUNSEL</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85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960" w:type="dxa"/>
            <w:vAlign w:val="bottom"/>
            <w:tcBorders>
              <w:bottom w:val="single" w:sz="8" w:color="0000EE"/>
            </w:tcBorders>
            <w:gridSpan w:val="27"/>
          </w:tcPr>
          <w:p>
            <w:pPr>
              <w:ind w:left="20"/>
              <w:spacing w:after="0"/>
              <w:rPr>
                <w:sz w:val="20"/>
                <w:szCs w:val="20"/>
                <w:color w:val="auto"/>
              </w:rPr>
            </w:pPr>
            <w:r>
              <w:rPr>
                <w:rFonts w:ascii="Times New Roman" w:cs="Times New Roman" w:eastAsia="Times New Roman" w:hAnsi="Times New Roman"/>
                <w:sz w:val="18"/>
                <w:szCs w:val="18"/>
                <w:color w:val="0000EE"/>
                <w:w w:val="99"/>
              </w:rPr>
              <w:t>ITEM 8. FINANCIAL INFORMATION</w:t>
            </w:r>
          </w:p>
        </w:tc>
        <w:tc>
          <w:tcPr>
            <w:tcW w:w="5660" w:type="dxa"/>
            <w:vAlign w:val="bottom"/>
            <w:gridSpan w:val="19"/>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8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8"/>
                <w:szCs w:val="18"/>
                <w:color w:val="0000EE"/>
                <w:w w:val="98"/>
              </w:rPr>
              <w:t>8.</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CONSOLIDATED STATEMENTS AND OTHER FINANCIAL INFORMATION</w:t>
            </w:r>
          </w:p>
        </w:tc>
        <w:tc>
          <w:tcPr>
            <w:tcW w:w="2160" w:type="dxa"/>
            <w:vAlign w:val="bottom"/>
            <w:gridSpan w:val="5"/>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85</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SIGNIFICANT CHANGES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8620" w:type="dxa"/>
            <w:vAlign w:val="bottom"/>
            <w:gridSpan w:val="46"/>
          </w:tcPr>
          <w:p>
            <w:pPr>
              <w:ind w:left="20"/>
              <w:spacing w:after="0"/>
              <w:rPr>
                <w:sz w:val="20"/>
                <w:szCs w:val="20"/>
                <w:color w:val="auto"/>
              </w:rPr>
            </w:pPr>
            <w:r>
              <w:rPr>
                <w:rFonts w:ascii="Times New Roman" w:cs="Times New Roman" w:eastAsia="Times New Roman" w:hAnsi="Times New Roman"/>
                <w:sz w:val="18"/>
                <w:szCs w:val="18"/>
                <w:color w:val="0000EE"/>
              </w:rPr>
              <w:t>ITEM 9. THE OFFER AND LISTING</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A.</w:t>
            </w:r>
            <w:r>
              <w:rPr>
                <w:rFonts w:ascii="Times New Roman" w:cs="Times New Roman" w:eastAsia="Times New Roman" w:hAnsi="Times New Roman"/>
                <w:sz w:val="18"/>
                <w:szCs w:val="18"/>
                <w:color w:val="0000EE"/>
              </w:rPr>
              <w:t xml:space="preserve"> OFFER AND LISTING DETAILS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PLAN OF DISTRIBUTION</w:t>
            </w:r>
          </w:p>
        </w:tc>
        <w:tc>
          <w:tcPr>
            <w:tcW w:w="5580" w:type="dxa"/>
            <w:vAlign w:val="bottom"/>
            <w:gridSpan w:val="17"/>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9.</w:t>
            </w:r>
            <w:r>
              <w:rPr>
                <w:rFonts w:ascii="Times New Roman" w:cs="Times New Roman" w:eastAsia="Times New Roman" w:hAnsi="Times New Roman"/>
                <w:sz w:val="18"/>
                <w:szCs w:val="18"/>
                <w:u w:val="single" w:color="auto"/>
                <w:color w:val="0000EE"/>
                <w:w w:val="97"/>
              </w:rPr>
              <w:t>C.</w:t>
            </w:r>
            <w:r>
              <w:rPr>
                <w:rFonts w:ascii="Times New Roman" w:cs="Times New Roman" w:eastAsia="Times New Roman" w:hAnsi="Times New Roman"/>
                <w:sz w:val="18"/>
                <w:szCs w:val="18"/>
                <w:color w:val="0000EE"/>
                <w:w w:val="97"/>
              </w:rPr>
              <w:t xml:space="preserve"> MARKETS</w:t>
            </w:r>
          </w:p>
        </w:tc>
        <w:tc>
          <w:tcPr>
            <w:tcW w:w="1180" w:type="dxa"/>
            <w:vAlign w:val="bottom"/>
            <w:tcBorders>
              <w:top w:val="single" w:sz="8" w:color="0000EE"/>
            </w:tcBorders>
            <w:gridSpan w:val="10"/>
          </w:tcPr>
          <w:p>
            <w:pPr>
              <w:spacing w:after="0"/>
              <w:rPr>
                <w:sz w:val="18"/>
                <w:szCs w:val="18"/>
                <w:color w:val="auto"/>
              </w:rPr>
            </w:pPr>
          </w:p>
        </w:tc>
        <w:tc>
          <w:tcPr>
            <w:tcW w:w="6060" w:type="dxa"/>
            <w:vAlign w:val="bottom"/>
            <w:gridSpan w:val="30"/>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SELLING SHAREHOLDERS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E.</w:t>
            </w:r>
            <w:r>
              <w:rPr>
                <w:rFonts w:ascii="Times New Roman" w:cs="Times New Roman" w:eastAsia="Times New Roman" w:hAnsi="Times New Roman"/>
                <w:sz w:val="18"/>
                <w:szCs w:val="18"/>
                <w:color w:val="0000EE"/>
              </w:rPr>
              <w:t xml:space="preserve"> DILUTION</w:t>
            </w:r>
          </w:p>
        </w:tc>
        <w:tc>
          <w:tcPr>
            <w:tcW w:w="5880" w:type="dxa"/>
            <w:vAlign w:val="bottom"/>
            <w:gridSpan w:val="25"/>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F.</w:t>
            </w:r>
            <w:r>
              <w:rPr>
                <w:rFonts w:ascii="Times New Roman" w:cs="Times New Roman" w:eastAsia="Times New Roman" w:hAnsi="Times New Roman"/>
                <w:sz w:val="18"/>
                <w:szCs w:val="18"/>
                <w:color w:val="0000EE"/>
              </w:rPr>
              <w:t xml:space="preserve"> EXPENSES OF THE ISSUE</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8620" w:type="dxa"/>
            <w:vAlign w:val="bottom"/>
            <w:gridSpan w:val="46"/>
          </w:tcPr>
          <w:p>
            <w:pPr>
              <w:ind w:left="20"/>
              <w:spacing w:after="0"/>
              <w:rPr>
                <w:sz w:val="20"/>
                <w:szCs w:val="20"/>
                <w:color w:val="auto"/>
              </w:rPr>
            </w:pPr>
            <w:r>
              <w:rPr>
                <w:rFonts w:ascii="Times New Roman" w:cs="Times New Roman" w:eastAsia="Times New Roman" w:hAnsi="Times New Roman"/>
                <w:sz w:val="18"/>
                <w:szCs w:val="18"/>
                <w:color w:val="0000EE"/>
              </w:rPr>
              <w:t>ITEM 10. ADDITIONAL INFORMATION</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A.</w:t>
            </w:r>
            <w:r>
              <w:rPr>
                <w:rFonts w:ascii="Times New Roman" w:cs="Times New Roman" w:eastAsia="Times New Roman" w:hAnsi="Times New Roman"/>
                <w:sz w:val="18"/>
                <w:szCs w:val="18"/>
                <w:color w:val="0000EE"/>
                <w:w w:val="97"/>
              </w:rPr>
              <w:t xml:space="preserve"> SHARE CAPITAL</w:t>
            </w:r>
          </w:p>
        </w:tc>
        <w:tc>
          <w:tcPr>
            <w:tcW w:w="1160" w:type="dxa"/>
            <w:vAlign w:val="bottom"/>
            <w:tcBorders>
              <w:top w:val="single" w:sz="8" w:color="0000EE"/>
            </w:tcBorders>
            <w:gridSpan w:val="20"/>
          </w:tcPr>
          <w:p>
            <w:pPr>
              <w:spacing w:after="0"/>
              <w:rPr>
                <w:sz w:val="18"/>
                <w:szCs w:val="18"/>
                <w:color w:val="auto"/>
              </w:rPr>
            </w:pPr>
          </w:p>
        </w:tc>
        <w:tc>
          <w:tcPr>
            <w:tcW w:w="5460" w:type="dxa"/>
            <w:vAlign w:val="bottom"/>
            <w:gridSpan w:val="16"/>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2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B.</w:t>
            </w:r>
            <w:r>
              <w:rPr>
                <w:rFonts w:ascii="Times New Roman" w:cs="Times New Roman" w:eastAsia="Times New Roman" w:hAnsi="Times New Roman"/>
                <w:sz w:val="18"/>
                <w:szCs w:val="18"/>
                <w:color w:val="0000EE"/>
                <w:w w:val="98"/>
              </w:rPr>
              <w:t xml:space="preserve"> MEMORANDUM AND ARTICLES OF ASSOCIATION</w:t>
            </w:r>
          </w:p>
        </w:tc>
        <w:tc>
          <w:tcPr>
            <w:tcW w:w="3820" w:type="dxa"/>
            <w:vAlign w:val="bottom"/>
            <w:gridSpan w:val="9"/>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C.</w:t>
            </w:r>
            <w:r>
              <w:rPr>
                <w:rFonts w:ascii="Times New Roman" w:cs="Times New Roman" w:eastAsia="Times New Roman" w:hAnsi="Times New Roman"/>
                <w:sz w:val="18"/>
                <w:szCs w:val="18"/>
                <w:color w:val="0000EE"/>
                <w:w w:val="98"/>
              </w:rPr>
              <w:t xml:space="preserve"> MATERIAL CONTRACTS</w:t>
            </w:r>
          </w:p>
        </w:tc>
        <w:tc>
          <w:tcPr>
            <w:tcW w:w="5980" w:type="dxa"/>
            <w:vAlign w:val="bottom"/>
            <w:gridSpan w:val="27"/>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EXCHANGE CONTROLS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E.</w:t>
            </w:r>
            <w:r>
              <w:rPr>
                <w:rFonts w:ascii="Times New Roman" w:cs="Times New Roman" w:eastAsia="Times New Roman" w:hAnsi="Times New Roman"/>
                <w:sz w:val="18"/>
                <w:szCs w:val="18"/>
                <w:color w:val="0000EE"/>
                <w:w w:val="95"/>
              </w:rPr>
              <w:t xml:space="preserve"> TAXATION</w:t>
            </w:r>
          </w:p>
        </w:tc>
        <w:tc>
          <w:tcPr>
            <w:tcW w:w="1100" w:type="dxa"/>
            <w:vAlign w:val="bottom"/>
            <w:tcBorders>
              <w:top w:val="single" w:sz="8" w:color="0000EE"/>
            </w:tcBorders>
            <w:gridSpan w:val="11"/>
          </w:tcPr>
          <w:p>
            <w:pPr>
              <w:spacing w:after="0"/>
              <w:rPr>
                <w:sz w:val="18"/>
                <w:szCs w:val="18"/>
                <w:color w:val="auto"/>
              </w:rPr>
            </w:pPr>
          </w:p>
        </w:tc>
        <w:tc>
          <w:tcPr>
            <w:tcW w:w="6020" w:type="dxa"/>
            <w:vAlign w:val="bottom"/>
            <w:gridSpan w:val="28"/>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7"/>
              </w:rPr>
              <w:t>10.</w:t>
            </w:r>
            <w:r>
              <w:rPr>
                <w:rFonts w:ascii="Times New Roman" w:cs="Times New Roman" w:eastAsia="Times New Roman" w:hAnsi="Times New Roman"/>
                <w:sz w:val="18"/>
                <w:szCs w:val="18"/>
                <w:u w:val="single" w:color="auto"/>
                <w:color w:val="0000EE"/>
                <w:w w:val="97"/>
              </w:rPr>
              <w:t>F.</w:t>
            </w:r>
            <w:r>
              <w:rPr>
                <w:rFonts w:ascii="Times New Roman" w:cs="Times New Roman" w:eastAsia="Times New Roman" w:hAnsi="Times New Roman"/>
                <w:sz w:val="18"/>
                <w:szCs w:val="18"/>
                <w:color w:val="0000EE"/>
                <w:w w:val="97"/>
              </w:rPr>
              <w:t xml:space="preserve"> DIVIDENDS AND PAYING AGENTS</w:t>
            </w:r>
          </w:p>
        </w:tc>
        <w:tc>
          <w:tcPr>
            <w:tcW w:w="5180" w:type="dxa"/>
            <w:vAlign w:val="bottom"/>
            <w:gridSpan w:val="14"/>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G.</w:t>
            </w:r>
            <w:r>
              <w:rPr>
                <w:rFonts w:ascii="Times New Roman" w:cs="Times New Roman" w:eastAsia="Times New Roman" w:hAnsi="Times New Roman"/>
                <w:sz w:val="18"/>
                <w:szCs w:val="18"/>
                <w:color w:val="0000EE"/>
              </w:rPr>
              <w:t xml:space="preserve"> STATEMENT BY EXPERTS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H.</w:t>
            </w:r>
            <w:r>
              <w:rPr>
                <w:rFonts w:ascii="Times New Roman" w:cs="Times New Roman" w:eastAsia="Times New Roman" w:hAnsi="Times New Roman"/>
                <w:sz w:val="18"/>
                <w:szCs w:val="18"/>
                <w:color w:val="0000EE"/>
              </w:rPr>
              <w:t xml:space="preserve"> DOCUMENTS ON DISPLAY</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I.</w:t>
            </w:r>
            <w:r>
              <w:rPr>
                <w:rFonts w:ascii="Times New Roman" w:cs="Times New Roman" w:eastAsia="Times New Roman" w:hAnsi="Times New Roman"/>
                <w:sz w:val="18"/>
                <w:szCs w:val="18"/>
                <w:color w:val="0000EE"/>
              </w:rPr>
              <w:t xml:space="preserve"> SUBSIDIARY INFORMATION</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J.</w:t>
            </w:r>
            <w:r>
              <w:rPr>
                <w:rFonts w:ascii="Times New Roman" w:cs="Times New Roman" w:eastAsia="Times New Roman" w:hAnsi="Times New Roman"/>
                <w:sz w:val="18"/>
                <w:szCs w:val="18"/>
                <w:color w:val="0000EE"/>
              </w:rPr>
              <w:t xml:space="preserve"> ANNUAL REPORT TO SECURITY HOLDERS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6900" w:type="dxa"/>
            <w:vAlign w:val="bottom"/>
            <w:tcBorders>
              <w:bottom w:val="single" w:sz="8" w:color="0000EE"/>
            </w:tcBorders>
            <w:gridSpan w:val="43"/>
          </w:tcPr>
          <w:p>
            <w:pPr>
              <w:ind w:left="20"/>
              <w:spacing w:after="0"/>
              <w:rPr>
                <w:sz w:val="20"/>
                <w:szCs w:val="20"/>
                <w:color w:val="auto"/>
              </w:rPr>
            </w:pPr>
            <w:r>
              <w:rPr>
                <w:rFonts w:ascii="Times New Roman" w:cs="Times New Roman" w:eastAsia="Times New Roman" w:hAnsi="Times New Roman"/>
                <w:sz w:val="18"/>
                <w:szCs w:val="18"/>
                <w:color w:val="0000EE"/>
                <w:w w:val="98"/>
              </w:rPr>
              <w:t>ITEM 11. QUANTITATIVE AND QUALITATIVE DISCLOSURES ABOUT MARKET RISK</w:t>
            </w:r>
          </w:p>
        </w:tc>
        <w:tc>
          <w:tcPr>
            <w:tcW w:w="1720" w:type="dxa"/>
            <w:vAlign w:val="bottom"/>
            <w:gridSpan w:val="3"/>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160" w:type="dxa"/>
            <w:vAlign w:val="bottom"/>
          </w:tcPr>
          <w:p>
            <w:pPr>
              <w:spacing w:after="0"/>
              <w:rPr>
                <w:sz w:val="18"/>
                <w:szCs w:val="18"/>
                <w:color w:val="auto"/>
              </w:rPr>
            </w:pPr>
          </w:p>
        </w:tc>
        <w:tc>
          <w:tcPr>
            <w:tcW w:w="8620" w:type="dxa"/>
            <w:vAlign w:val="bottom"/>
            <w:gridSpan w:val="46"/>
          </w:tcPr>
          <w:p>
            <w:pPr>
              <w:ind w:left="20"/>
              <w:spacing w:after="0"/>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16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12.</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DEBT SECURITIES</w:t>
            </w:r>
          </w:p>
        </w:tc>
        <w:tc>
          <w:tcPr>
            <w:tcW w:w="4080" w:type="dxa"/>
            <w:vAlign w:val="bottom"/>
            <w:tcBorders>
              <w:top w:val="single" w:sz="8" w:color="0000EE"/>
            </w:tcBorders>
            <w:gridSpan w:val="27"/>
          </w:tcPr>
          <w:p>
            <w:pPr>
              <w:spacing w:after="0"/>
              <w:rPr>
                <w:sz w:val="18"/>
                <w:szCs w:val="18"/>
                <w:color w:val="auto"/>
              </w:rPr>
            </w:pPr>
          </w:p>
        </w:tc>
        <w:tc>
          <w:tcPr>
            <w:tcW w:w="2380" w:type="dxa"/>
            <w:vAlign w:val="bottom"/>
            <w:gridSpan w:val="6"/>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WARRANTS AND RIGHTS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12.</w:t>
            </w:r>
            <w:r>
              <w:rPr>
                <w:rFonts w:ascii="Times New Roman" w:cs="Times New Roman" w:eastAsia="Times New Roman" w:hAnsi="Times New Roman"/>
                <w:sz w:val="18"/>
                <w:szCs w:val="18"/>
                <w:u w:val="single" w:color="auto"/>
                <w:color w:val="0000EE"/>
                <w:w w:val="99"/>
              </w:rPr>
              <w:t>C.</w:t>
            </w:r>
            <w:r>
              <w:rPr>
                <w:rFonts w:ascii="Times New Roman" w:cs="Times New Roman" w:eastAsia="Times New Roman" w:hAnsi="Times New Roman"/>
                <w:sz w:val="18"/>
                <w:szCs w:val="18"/>
                <w:color w:val="0000EE"/>
                <w:w w:val="99"/>
              </w:rPr>
              <w:t xml:space="preserve"> OTHER SECURITIES</w:t>
            </w:r>
          </w:p>
        </w:tc>
        <w:tc>
          <w:tcPr>
            <w:tcW w:w="440" w:type="dxa"/>
            <w:vAlign w:val="bottom"/>
            <w:tcBorders>
              <w:top w:val="single" w:sz="8" w:color="0000EE"/>
            </w:tcBorders>
            <w:gridSpan w:val="6"/>
          </w:tcPr>
          <w:p>
            <w:pPr>
              <w:spacing w:after="0"/>
              <w:rPr>
                <w:sz w:val="18"/>
                <w:szCs w:val="18"/>
                <w:color w:val="auto"/>
              </w:rPr>
            </w:pPr>
          </w:p>
        </w:tc>
        <w:tc>
          <w:tcPr>
            <w:tcW w:w="5900" w:type="dxa"/>
            <w:vAlign w:val="bottom"/>
            <w:gridSpan w:val="26"/>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8"/>
              </w:rPr>
              <w:t>12.</w:t>
            </w:r>
            <w:r>
              <w:rPr>
                <w:rFonts w:ascii="Times New Roman" w:cs="Times New Roman" w:eastAsia="Times New Roman" w:hAnsi="Times New Roman"/>
                <w:sz w:val="18"/>
                <w:szCs w:val="18"/>
                <w:u w:val="single" w:color="auto"/>
                <w:color w:val="0000EE"/>
                <w:w w:val="98"/>
              </w:rPr>
              <w:t>D.</w:t>
            </w:r>
            <w:r>
              <w:rPr>
                <w:rFonts w:ascii="Times New Roman" w:cs="Times New Roman" w:eastAsia="Times New Roman" w:hAnsi="Times New Roman"/>
                <w:sz w:val="18"/>
                <w:szCs w:val="18"/>
                <w:color w:val="0000EE"/>
                <w:w w:val="98"/>
              </w:rPr>
              <w:t xml:space="preserve"> AMERICAN DEPOSITARY SHARES</w:t>
            </w:r>
          </w:p>
        </w:tc>
        <w:tc>
          <w:tcPr>
            <w:tcW w:w="5160" w:type="dxa"/>
            <w:vAlign w:val="bottom"/>
            <w:gridSpan w:val="13"/>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878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PART II</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780" w:type="dxa"/>
            <w:vAlign w:val="bottom"/>
            <w:tcBorders>
              <w:bottom w:val="single" w:sz="8" w:color="0000EE"/>
            </w:tcBorders>
            <w:gridSpan w:val="39"/>
          </w:tcPr>
          <w:p>
            <w:pPr>
              <w:ind w:left="20"/>
              <w:spacing w:after="0"/>
              <w:rPr>
                <w:sz w:val="20"/>
                <w:szCs w:val="20"/>
                <w:color w:val="auto"/>
              </w:rPr>
            </w:pPr>
            <w:r>
              <w:rPr>
                <w:rFonts w:ascii="Times New Roman" w:cs="Times New Roman" w:eastAsia="Times New Roman" w:hAnsi="Times New Roman"/>
                <w:sz w:val="18"/>
                <w:szCs w:val="18"/>
                <w:color w:val="0000EE"/>
                <w:w w:val="98"/>
              </w:rPr>
              <w:t>ITEM 13. DEFAULTS, DIVIDEND ARREARAGES AND DELINQUENCIES</w:t>
            </w:r>
          </w:p>
        </w:tc>
        <w:tc>
          <w:tcPr>
            <w:tcW w:w="2840" w:type="dxa"/>
            <w:vAlign w:val="bottom"/>
            <w:gridSpan w:val="7"/>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97</w:t>
            </w:r>
          </w:p>
        </w:tc>
      </w:tr>
      <w:tr>
        <w:trPr>
          <w:trHeight w:val="209"/>
        </w:trPr>
        <w:tc>
          <w:tcPr>
            <w:tcW w:w="160" w:type="dxa"/>
            <w:vAlign w:val="bottom"/>
          </w:tcPr>
          <w:p>
            <w:pPr>
              <w:spacing w:after="0"/>
              <w:rPr>
                <w:sz w:val="18"/>
                <w:szCs w:val="18"/>
                <w:color w:val="auto"/>
              </w:rPr>
            </w:pPr>
          </w:p>
        </w:tc>
        <w:tc>
          <w:tcPr>
            <w:tcW w:w="8620" w:type="dxa"/>
            <w:vAlign w:val="bottom"/>
            <w:tcBorders>
              <w:bottom w:val="single" w:sz="8" w:color="0000EE"/>
            </w:tcBorders>
            <w:gridSpan w:val="46"/>
          </w:tcPr>
          <w:p>
            <w:pPr>
              <w:ind w:left="20"/>
              <w:spacing w:after="0"/>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160" w:type="dxa"/>
            <w:vAlign w:val="bottom"/>
          </w:tcPr>
          <w:p>
            <w:pPr>
              <w:spacing w:after="0"/>
              <w:rPr>
                <w:sz w:val="18"/>
                <w:szCs w:val="18"/>
                <w:color w:val="auto"/>
              </w:rPr>
            </w:pPr>
          </w:p>
        </w:tc>
        <w:tc>
          <w:tcPr>
            <w:tcW w:w="8620" w:type="dxa"/>
            <w:vAlign w:val="bottom"/>
            <w:gridSpan w:val="46"/>
          </w:tcPr>
          <w:p>
            <w:pPr>
              <w:ind w:left="20"/>
              <w:spacing w:after="0"/>
              <w:rPr>
                <w:sz w:val="20"/>
                <w:szCs w:val="20"/>
                <w:color w:val="auto"/>
              </w:rPr>
            </w:pPr>
            <w:r>
              <w:rPr>
                <w:rFonts w:ascii="Times New Roman" w:cs="Times New Roman" w:eastAsia="Times New Roman" w:hAnsi="Times New Roman"/>
                <w:sz w:val="18"/>
                <w:szCs w:val="18"/>
                <w:color w:val="0000EE"/>
              </w:rPr>
              <w:t>ITEM 15. CONTROLS AND PROCEDURES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160" w:type="dxa"/>
            <w:vAlign w:val="bottom"/>
          </w:tcPr>
          <w:p>
            <w:pPr>
              <w:spacing w:after="0"/>
              <w:rPr>
                <w:sz w:val="18"/>
                <w:szCs w:val="18"/>
                <w:color w:val="auto"/>
              </w:rPr>
            </w:pPr>
          </w:p>
        </w:tc>
        <w:tc>
          <w:tcPr>
            <w:tcW w:w="1800" w:type="dxa"/>
            <w:vAlign w:val="bottom"/>
            <w:tcBorders>
              <w:top w:val="single" w:sz="8" w:color="0000EE"/>
              <w:bottom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w w:val="97"/>
              </w:rPr>
              <w:t>ITEM 16. [RESERVED]</w:t>
            </w:r>
          </w:p>
        </w:tc>
        <w:tc>
          <w:tcPr>
            <w:tcW w:w="1560" w:type="dxa"/>
            <w:vAlign w:val="bottom"/>
            <w:tcBorders>
              <w:top w:val="single" w:sz="8" w:color="0000EE"/>
            </w:tcBorders>
            <w:gridSpan w:val="22"/>
          </w:tcPr>
          <w:p>
            <w:pPr>
              <w:spacing w:after="0"/>
              <w:rPr>
                <w:sz w:val="18"/>
                <w:szCs w:val="18"/>
                <w:color w:val="auto"/>
              </w:rPr>
            </w:pPr>
          </w:p>
        </w:tc>
        <w:tc>
          <w:tcPr>
            <w:tcW w:w="5260" w:type="dxa"/>
            <w:vAlign w:val="bottom"/>
            <w:gridSpan w:val="15"/>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8"/>
              </w:rPr>
              <w:t>16.</w:t>
            </w:r>
            <w:r>
              <w:rPr>
                <w:rFonts w:ascii="Times New Roman" w:cs="Times New Roman" w:eastAsia="Times New Roman" w:hAnsi="Times New Roman"/>
                <w:sz w:val="18"/>
                <w:szCs w:val="18"/>
                <w:u w:val="single" w:color="auto"/>
                <w:color w:val="0000EE"/>
                <w:w w:val="98"/>
              </w:rPr>
              <w:t>A.</w:t>
            </w:r>
            <w:r>
              <w:rPr>
                <w:rFonts w:ascii="Times New Roman" w:cs="Times New Roman" w:eastAsia="Times New Roman" w:hAnsi="Times New Roman"/>
                <w:sz w:val="18"/>
                <w:szCs w:val="18"/>
                <w:color w:val="0000EE"/>
                <w:w w:val="98"/>
              </w:rPr>
              <w:t xml:space="preserve"> AUDIT COMMITTEE FINANCIAL EXPERT</w:t>
            </w:r>
          </w:p>
        </w:tc>
        <w:tc>
          <w:tcPr>
            <w:tcW w:w="4600" w:type="dxa"/>
            <w:vAlign w:val="bottom"/>
            <w:gridSpan w:val="12"/>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B.</w:t>
            </w:r>
            <w:r>
              <w:rPr>
                <w:rFonts w:ascii="Times New Roman" w:cs="Times New Roman" w:eastAsia="Times New Roman" w:hAnsi="Times New Roman"/>
                <w:sz w:val="18"/>
                <w:szCs w:val="18"/>
                <w:color w:val="0000EE"/>
              </w:rPr>
              <w:t xml:space="preserve"> CODE OF ETHICS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8"/>
              </w:rPr>
              <w:t>16.</w:t>
            </w:r>
            <w:r>
              <w:rPr>
                <w:rFonts w:ascii="Times New Roman" w:cs="Times New Roman" w:eastAsia="Times New Roman" w:hAnsi="Times New Roman"/>
                <w:sz w:val="18"/>
                <w:szCs w:val="18"/>
                <w:u w:val="single" w:color="auto"/>
                <w:color w:val="0000EE"/>
                <w:w w:val="98"/>
              </w:rPr>
              <w:t>C.</w:t>
            </w:r>
            <w:r>
              <w:rPr>
                <w:rFonts w:ascii="Times New Roman" w:cs="Times New Roman" w:eastAsia="Times New Roman" w:hAnsi="Times New Roman"/>
                <w:sz w:val="18"/>
                <w:szCs w:val="18"/>
                <w:color w:val="0000EE"/>
                <w:w w:val="98"/>
              </w:rPr>
              <w:t xml:space="preserve"> PRINCIPAL ACCOUNTANT FEES AND SERVICES</w:t>
            </w:r>
          </w:p>
        </w:tc>
        <w:tc>
          <w:tcPr>
            <w:tcW w:w="4040" w:type="dxa"/>
            <w:vAlign w:val="bottom"/>
            <w:gridSpan w:val="10"/>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D.</w:t>
            </w:r>
            <w:r>
              <w:rPr>
                <w:rFonts w:ascii="Times New Roman" w:cs="Times New Roman" w:eastAsia="Times New Roman" w:hAnsi="Times New Roman"/>
                <w:sz w:val="18"/>
                <w:szCs w:val="18"/>
                <w:color w:val="0000EE"/>
              </w:rPr>
              <w:t xml:space="preserve"> EXEMPTIONS FROM THE LISTING STANDARDS FOR AUDIT COMMITTEES.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20" w:type="dxa"/>
            <w:vAlign w:val="bottom"/>
            <w:gridSpan w:val="1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20" w:type="dxa"/>
            <w:vAlign w:val="bottom"/>
            <w:tcBorders>
              <w:bottom w:val="single" w:sz="8" w:color="0000EE"/>
            </w:tcBorders>
            <w:gridSpan w:val="44"/>
          </w:tcPr>
          <w:p>
            <w:pPr>
              <w:spacing w:after="0"/>
              <w:rPr>
                <w:sz w:val="20"/>
                <w:szCs w:val="20"/>
                <w:color w:val="auto"/>
              </w:rPr>
            </w:pPr>
            <w:r>
              <w:rPr>
                <w:rFonts w:ascii="Times New Roman" w:cs="Times New Roman" w:eastAsia="Times New Roman" w:hAnsi="Times New Roman"/>
                <w:sz w:val="18"/>
                <w:szCs w:val="18"/>
                <w:color w:val="0000EE"/>
                <w:w w:val="99"/>
              </w:rPr>
              <w:t>16.</w:t>
            </w:r>
            <w:r>
              <w:rPr>
                <w:rFonts w:ascii="Times New Roman" w:cs="Times New Roman" w:eastAsia="Times New Roman" w:hAnsi="Times New Roman"/>
                <w:sz w:val="18"/>
                <w:szCs w:val="18"/>
                <w:u w:val="single" w:color="auto"/>
                <w:color w:val="0000EE"/>
                <w:w w:val="99"/>
              </w:rPr>
              <w:t>E.</w:t>
            </w:r>
            <w:r>
              <w:rPr>
                <w:rFonts w:ascii="Times New Roman" w:cs="Times New Roman" w:eastAsia="Times New Roman" w:hAnsi="Times New Roman"/>
                <w:sz w:val="18"/>
                <w:szCs w:val="18"/>
                <w:color w:val="0000EE"/>
                <w:w w:val="99"/>
              </w:rPr>
              <w:t xml:space="preserve"> PURCHASES OF EQUITY SECURITIES BY THE ISSUER AND AFFILIATED PURCHASERS.</w:t>
            </w:r>
          </w:p>
        </w:tc>
        <w:tc>
          <w:tcPr>
            <w:tcW w:w="8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8"/>
              </w:rPr>
              <w:t>16.</w:t>
            </w:r>
            <w:r>
              <w:rPr>
                <w:rFonts w:ascii="Times New Roman" w:cs="Times New Roman" w:eastAsia="Times New Roman" w:hAnsi="Times New Roman"/>
                <w:sz w:val="18"/>
                <w:szCs w:val="18"/>
                <w:u w:val="single" w:color="auto"/>
                <w:color w:val="0000EE"/>
                <w:w w:val="98"/>
              </w:rPr>
              <w:t>F.</w:t>
            </w:r>
            <w:r>
              <w:rPr>
                <w:rFonts w:ascii="Times New Roman" w:cs="Times New Roman" w:eastAsia="Times New Roman" w:hAnsi="Times New Roman"/>
                <w:sz w:val="18"/>
                <w:szCs w:val="18"/>
                <w:color w:val="0000EE"/>
                <w:w w:val="98"/>
              </w:rPr>
              <w:t xml:space="preserve"> CHANGE IN REGISTRANT’S CERTIFYING ACCOUNTANT</w:t>
            </w:r>
          </w:p>
        </w:tc>
        <w:tc>
          <w:tcPr>
            <w:tcW w:w="3360" w:type="dxa"/>
            <w:vAlign w:val="bottom"/>
            <w:gridSpan w:val="8"/>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8"/>
              </w:rPr>
              <w:t>16.</w:t>
            </w:r>
            <w:r>
              <w:rPr>
                <w:rFonts w:ascii="Times New Roman" w:cs="Times New Roman" w:eastAsia="Times New Roman" w:hAnsi="Times New Roman"/>
                <w:sz w:val="18"/>
                <w:szCs w:val="18"/>
                <w:u w:val="single" w:color="auto"/>
                <w:color w:val="0000EE"/>
                <w:w w:val="98"/>
              </w:rPr>
              <w:t>G.</w:t>
            </w:r>
            <w:r>
              <w:rPr>
                <w:rFonts w:ascii="Times New Roman" w:cs="Times New Roman" w:eastAsia="Times New Roman" w:hAnsi="Times New Roman"/>
                <w:sz w:val="18"/>
                <w:szCs w:val="18"/>
                <w:color w:val="0000EE"/>
                <w:w w:val="98"/>
              </w:rPr>
              <w:t xml:space="preserve"> CORPORATE GOVERNANCE</w:t>
            </w:r>
          </w:p>
        </w:tc>
        <w:tc>
          <w:tcPr>
            <w:tcW w:w="5660" w:type="dxa"/>
            <w:vAlign w:val="bottom"/>
            <w:gridSpan w:val="19"/>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16.</w:t>
            </w:r>
            <w:r>
              <w:rPr>
                <w:rFonts w:ascii="Times New Roman" w:cs="Times New Roman" w:eastAsia="Times New Roman" w:hAnsi="Times New Roman"/>
                <w:sz w:val="18"/>
                <w:szCs w:val="18"/>
                <w:u w:val="single" w:color="auto"/>
                <w:color w:val="0000EE"/>
                <w:w w:val="99"/>
              </w:rPr>
              <w:t>H.</w:t>
            </w:r>
            <w:r>
              <w:rPr>
                <w:rFonts w:ascii="Times New Roman" w:cs="Times New Roman" w:eastAsia="Times New Roman" w:hAnsi="Times New Roman"/>
                <w:sz w:val="18"/>
                <w:szCs w:val="18"/>
                <w:color w:val="0000EE"/>
                <w:w w:val="99"/>
              </w:rPr>
              <w:t xml:space="preserve"> MINE SAFETY DISCLOSURE</w:t>
            </w:r>
          </w:p>
        </w:tc>
        <w:tc>
          <w:tcPr>
            <w:tcW w:w="5640" w:type="dxa"/>
            <w:vAlign w:val="bottom"/>
            <w:gridSpan w:val="18"/>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40" w:type="dxa"/>
            <w:vAlign w:val="bottom"/>
            <w:gridSpan w:val="45"/>
          </w:tcPr>
          <w:p>
            <w:pPr>
              <w:spacing w:after="0"/>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I.</w:t>
            </w:r>
            <w:r>
              <w:rPr>
                <w:rFonts w:ascii="Times New Roman" w:cs="Times New Roman" w:eastAsia="Times New Roman" w:hAnsi="Times New Roman"/>
                <w:sz w:val="18"/>
                <w:szCs w:val="18"/>
                <w:color w:val="0000EE"/>
              </w:rPr>
              <w:t xml:space="preserve"> DISCLOSURE REGARDING FOREIGN JURISDICTIONS THAT PREVENT INSPECTIONS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100</w:t>
            </w:r>
          </w:p>
        </w:tc>
      </w:tr>
      <w:tr>
        <w:trPr>
          <w:trHeight w:val="209"/>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Borders>
              <w:top w:val="single" w:sz="8" w:color="0000EE"/>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16.</w:t>
            </w:r>
            <w:r>
              <w:rPr>
                <w:rFonts w:ascii="Times New Roman" w:cs="Times New Roman" w:eastAsia="Times New Roman" w:hAnsi="Times New Roman"/>
                <w:sz w:val="18"/>
                <w:szCs w:val="18"/>
                <w:u w:val="single" w:color="auto"/>
                <w:color w:val="0000EE"/>
                <w:w w:val="99"/>
              </w:rPr>
              <w:t>J.</w:t>
            </w:r>
            <w:r>
              <w:rPr>
                <w:rFonts w:ascii="Times New Roman" w:cs="Times New Roman" w:eastAsia="Times New Roman" w:hAnsi="Times New Roman"/>
                <w:sz w:val="18"/>
                <w:szCs w:val="18"/>
                <w:color w:val="0000EE"/>
                <w:w w:val="99"/>
              </w:rPr>
              <w:t xml:space="preserve"> INSIDER TRADING POLICIES</w:t>
            </w:r>
          </w:p>
        </w:tc>
        <w:tc>
          <w:tcPr>
            <w:tcW w:w="4540" w:type="dxa"/>
            <w:vAlign w:val="bottom"/>
            <w:tcBorders>
              <w:top w:val="single" w:sz="8" w:color="0000EE"/>
            </w:tcBorders>
            <w:gridSpan w:val="17"/>
          </w:tcPr>
          <w:p>
            <w:pPr>
              <w:spacing w:after="0"/>
              <w:rPr>
                <w:sz w:val="18"/>
                <w:szCs w:val="18"/>
                <w:color w:val="auto"/>
              </w:rPr>
            </w:pPr>
          </w:p>
        </w:tc>
        <w:tc>
          <w:tcPr>
            <w:tcW w:w="1120" w:type="dxa"/>
            <w:vAlign w:val="bottom"/>
            <w:gridSpan w:val="2"/>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101</w:t>
            </w:r>
          </w:p>
        </w:tc>
      </w:tr>
      <w:tr>
        <w:trPr>
          <w:trHeight w:val="210"/>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16.</w:t>
            </w:r>
            <w:r>
              <w:rPr>
                <w:rFonts w:ascii="Times New Roman" w:cs="Times New Roman" w:eastAsia="Times New Roman" w:hAnsi="Times New Roman"/>
                <w:sz w:val="18"/>
                <w:szCs w:val="18"/>
                <w:u w:val="single" w:color="auto"/>
                <w:color w:val="0000EE"/>
                <w:w w:val="98"/>
              </w:rPr>
              <w:t>K.</w:t>
            </w:r>
            <w:r>
              <w:rPr>
                <w:rFonts w:ascii="Times New Roman" w:cs="Times New Roman" w:eastAsia="Times New Roman" w:hAnsi="Times New Roman"/>
                <w:sz w:val="18"/>
                <w:szCs w:val="18"/>
                <w:color w:val="0000EE"/>
                <w:w w:val="98"/>
              </w:rPr>
              <w:t xml:space="preserve"> CYBERSECURITY</w:t>
            </w:r>
          </w:p>
        </w:tc>
        <w:tc>
          <w:tcPr>
            <w:tcW w:w="6520" w:type="dxa"/>
            <w:vAlign w:val="bottom"/>
            <w:gridSpan w:val="34"/>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101</w:t>
            </w:r>
          </w:p>
        </w:tc>
      </w:tr>
      <w:tr>
        <w:trPr>
          <w:trHeight w:val="210"/>
        </w:trPr>
        <w:tc>
          <w:tcPr>
            <w:tcW w:w="878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PART III</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103</w:t>
            </w:r>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3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80" w:type="dxa"/>
            <w:vAlign w:val="bottom"/>
            <w:gridSpan w:val="2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940" w:type="dxa"/>
            <w:vAlign w:val="bottom"/>
            <w:tcBorders>
              <w:bottom w:val="single" w:sz="8" w:color="0000EE"/>
            </w:tcBorders>
            <w:gridSpan w:val="26"/>
          </w:tcPr>
          <w:p>
            <w:pPr>
              <w:ind w:left="20"/>
              <w:spacing w:after="0"/>
              <w:rPr>
                <w:sz w:val="20"/>
                <w:szCs w:val="20"/>
                <w:color w:val="auto"/>
              </w:rPr>
            </w:pPr>
            <w:r>
              <w:rPr>
                <w:rFonts w:ascii="Times New Roman" w:cs="Times New Roman" w:eastAsia="Times New Roman" w:hAnsi="Times New Roman"/>
                <w:sz w:val="18"/>
                <w:szCs w:val="18"/>
                <w:color w:val="0000EE"/>
                <w:w w:val="98"/>
              </w:rPr>
              <w:t>ITEM 17. FINANCIAL STATEMENTS</w:t>
            </w:r>
          </w:p>
        </w:tc>
        <w:tc>
          <w:tcPr>
            <w:tcW w:w="5680" w:type="dxa"/>
            <w:vAlign w:val="bottom"/>
            <w:gridSpan w:val="20"/>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103</w:t>
            </w:r>
          </w:p>
        </w:tc>
      </w:tr>
      <w:tr>
        <w:trPr>
          <w:trHeight w:val="209"/>
        </w:trPr>
        <w:tc>
          <w:tcPr>
            <w:tcW w:w="160" w:type="dxa"/>
            <w:vAlign w:val="bottom"/>
          </w:tcPr>
          <w:p>
            <w:pPr>
              <w:spacing w:after="0"/>
              <w:rPr>
                <w:sz w:val="18"/>
                <w:szCs w:val="18"/>
                <w:color w:val="auto"/>
              </w:rPr>
            </w:pPr>
          </w:p>
        </w:tc>
        <w:tc>
          <w:tcPr>
            <w:tcW w:w="2920" w:type="dxa"/>
            <w:vAlign w:val="bottom"/>
            <w:tcBorders>
              <w:bottom w:val="single" w:sz="8" w:color="0000EE"/>
            </w:tcBorders>
            <w:gridSpan w:val="25"/>
          </w:tcPr>
          <w:p>
            <w:pPr>
              <w:ind w:left="20"/>
              <w:spacing w:after="0"/>
              <w:rPr>
                <w:sz w:val="20"/>
                <w:szCs w:val="20"/>
                <w:color w:val="auto"/>
              </w:rPr>
            </w:pPr>
            <w:r>
              <w:rPr>
                <w:rFonts w:ascii="Times New Roman" w:cs="Times New Roman" w:eastAsia="Times New Roman" w:hAnsi="Times New Roman"/>
                <w:sz w:val="18"/>
                <w:szCs w:val="18"/>
                <w:color w:val="0000EE"/>
                <w:w w:val="97"/>
              </w:rPr>
              <w:t>ITEM 18. FINANCIAL STATEMENTS</w:t>
            </w:r>
          </w:p>
        </w:tc>
        <w:tc>
          <w:tcPr>
            <w:tcW w:w="5700" w:type="dxa"/>
            <w:vAlign w:val="bottom"/>
            <w:gridSpan w:val="21"/>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103</w:t>
            </w:r>
          </w:p>
        </w:tc>
      </w:tr>
      <w:tr>
        <w:trPr>
          <w:trHeight w:val="210"/>
        </w:trPr>
        <w:tc>
          <w:tcPr>
            <w:tcW w:w="160" w:type="dxa"/>
            <w:vAlign w:val="bottom"/>
          </w:tcPr>
          <w:p>
            <w:pPr>
              <w:spacing w:after="0"/>
              <w:rPr>
                <w:sz w:val="18"/>
                <w:szCs w:val="18"/>
                <w:color w:val="auto"/>
              </w:rPr>
            </w:pPr>
          </w:p>
        </w:tc>
        <w:tc>
          <w:tcPr>
            <w:tcW w:w="8620" w:type="dxa"/>
            <w:vAlign w:val="bottom"/>
            <w:gridSpan w:val="46"/>
          </w:tcPr>
          <w:p>
            <w:pPr>
              <w:ind w:left="20"/>
              <w:spacing w:after="0"/>
              <w:rPr>
                <w:sz w:val="20"/>
                <w:szCs w:val="20"/>
                <w:color w:val="auto"/>
              </w:rPr>
            </w:pPr>
            <w:r>
              <w:rPr>
                <w:rFonts w:ascii="Times New Roman" w:cs="Times New Roman" w:eastAsia="Times New Roman" w:hAnsi="Times New Roman"/>
                <w:sz w:val="18"/>
                <w:szCs w:val="18"/>
                <w:color w:val="0000EE"/>
              </w:rPr>
              <w:t>ITEM 19. EXHIBITS</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103</w:t>
            </w:r>
          </w:p>
        </w:tc>
      </w:tr>
      <w:tr>
        <w:trPr>
          <w:trHeight w:val="210"/>
        </w:trPr>
        <w:tc>
          <w:tcPr>
            <w:tcW w:w="160" w:type="dxa"/>
            <w:vAlign w:val="bottom"/>
          </w:tcPr>
          <w:p>
            <w:pPr>
              <w:spacing w:after="0"/>
              <w:rPr>
                <w:sz w:val="18"/>
                <w:szCs w:val="18"/>
                <w:color w:val="auto"/>
              </w:rPr>
            </w:pPr>
          </w:p>
        </w:tc>
        <w:tc>
          <w:tcPr>
            <w:tcW w:w="158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rPr>
              <w:t>SIGNATURES</w:t>
            </w:r>
          </w:p>
        </w:tc>
        <w:tc>
          <w:tcPr>
            <w:tcW w:w="7040" w:type="dxa"/>
            <w:vAlign w:val="bottom"/>
            <w:gridSpan w:val="38"/>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104</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 AND USE OF CERTAIN TERMS</w:t>
      </w:r>
    </w:p>
    <w:p>
      <w:pPr>
        <w:spacing w:after="0" w:line="241"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We have prepared this annual report on Form 20-F (this “Form 20-F” or “Annual Report”) using a number of conventions, which you should consider when reading the information contained herein. In this Form 20-F, except where the context otherwise requires or where otherwise indicated, references to “Nexxen,” the “Company,” “we,” “us,” “our,” “our company,” “our business” and similar references refer to Nexxen International Ltd., together with its consolidated subsidiaries as a consolidated entity.</w:t>
      </w:r>
    </w:p>
    <w:p>
      <w:pPr>
        <w:spacing w:after="0" w:line="184"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Nexxen is a flexible unified platform that helps empower durable growth across the media supply chain. Our end-to-end, video-first platform facilitates and optimizes engaging advertising campaigns for brands, media groups and content creators worldwide—enabling powerful partnerships and delivering meaningful results. Our omni-channel capabilities deliver global advertising campaigns across all formats and channels, with an expertise in video format ads on all devices (“Video”) and Connected TV (“CTV”).</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Structure Changes</w:t>
      </w:r>
    </w:p>
    <w:p>
      <w:pPr>
        <w:spacing w:after="0" w:line="2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14, 2025, the Company executed a reverse split of its Ordinary Shares such that every two Ordinary Shares, par value NIS 0.01 per share, held at the time of the reverse split consolidated into one new Ordinary Share, par value NIS 0.02 per share (the “New Ordinary Shares”) to facilitate a one-to-one American Depositary Receipt (“ADR”) exchange (the “Reverse Split”). Thereafter, the Company exchanged its Nasdaq-listed ADRs for Nasdaq-listed New Ordinary Shares and terminated its ADR facility. On February 17, 2025, the Company’s AIM-listed depository interests representing the Company’s old Ordinary Shares were cancelled from admission to trading on the AIM Market of the London Stock Exchange, and on February 18, 2025, the Company’s New Ordinary Shares began trading on Nasdaq under the stock ticker “NEXN” (collectively, the “Trading Structure Changes”).</w:t>
      </w:r>
    </w:p>
    <w:p>
      <w:pPr>
        <w:spacing w:after="0" w:line="190"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Unless stated otherwise, all references in this Annual Report to “ordinary shares”, “Ordinary Shares”, “shares” or “Shares” refer to the New Ordinary Shares after giving effect to the Trading Structure Changes, including the Reverse Split completed on February 14,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publish consolidated financial statements expressed in U.S. dollars. Our consolidated financial statements responsive to Item 17 of this Annual Report are prepared in accordance with International Financial Reporting Standards as issued by the International Accounting Standards Board (the “IFRS”). We present our consolidated financial statements in U.S. dollars. All references in this Annual Report to “Israeli currency” and “NIS” refer to New Israeli Shekels, the terms “dollar,” “USD” or “$” refer to U.S. dollars.</w:t>
      </w:r>
    </w:p>
    <w:p>
      <w:pPr>
        <w:spacing w:after="0" w:line="186"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This Annual Report includes the audited consolidated financial statements of the Company as of the years ended December 31, 2025 and 2024, and for the years ended December 31, 2025, 2024, and 2023, prepared in accordance with IFRS.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fiscal year ends on December 31 of each year.</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Throughout this Annual Report, we provide a number of key performance indicators used by our management and often used by others in our industry.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define these key performance indicators as follows:</w:t>
      </w:r>
    </w:p>
    <w:p>
      <w:pPr>
        <w:spacing w:after="0" w:line="23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is revenue derived from CTV devices.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is revenue derived from video format ads on all devices.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is defined as our gross profit plus depreciation and amortization attributable to cost of revenues and cost of revenues (exclusive of depreciation and amortization) minus the performance media cost (“traffic acquisition costs” or “TAC”).</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total comprehensive income (loss) for the year adjusted for foreign currency translation differences for foreign operations, financing expenses (income), net, tax expenses, depreciation and amortization, stock-based compensation, restructuring, acquisition-related costs, delisting related one-time costs and other expenses, net.</w:t>
      </w:r>
    </w:p>
    <w:p>
      <w:pPr>
        <w:spacing w:after="0" w:line="1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defined as Adjusted EBITDA as a percentage of revenue.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customer is defined as an advertiser, buyer, agency, trading desk or third-party demand side platform (“DSP”) that has used our platform within a trailing 365-day period.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publisher is defined as a publisher or third-party supply side platform (“SSP”) that has used our platform within a trailing 365-day period.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unique user is defined as an unduplicated visitor to a publisher’s site connected to our platform from both direct and third-party sites in a one-month period and “unique users” is the total number of unduplicated visitors to a publisher’s site connected to our platform from both direct and third-party sites in a one-month period. When a user visits a publisher’s site that is connected to our platform, we receive the request along with a field that holds a unique ID number that identifies the source from which the request came, and as such “unique users” is a summation of unique ID numbers to produce a total of unduplicated visitors to publishers’ sites connected to our platform.</w:t>
      </w:r>
    </w:p>
    <w:p>
      <w:pPr>
        <w:spacing w:after="0" w:line="19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retention rate is defined as Contribution ex-TAC generated in a fiscal year from the customers who were existing customers as of the last day of the previous fiscal year as a percentage of the Contribution ex-TAC generated in the previous fiscal year from the same group of customers. We consider all of our revenue to be recurring.</w:t>
      </w:r>
    </w:p>
    <w:p>
      <w:pPr>
        <w:spacing w:after="0" w:line="1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is defined as cash and cash equivalents minus long term debt.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5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We or our licensors have proprietary rights to trademarks, copyrights, trade names or service marks used in this Annual Report that are important to our business, many of which are registered under the applicable intellectual property laws. Solely for convenience, the trademarks, trade names and service marks referred to in this Annual Report may appear without the “®” or “™” symbols, but such references are not intended to indicate, in any way, that we will not assert, to the fullest extent possible under applicable law, our rights or the rights of the applicable licensor to these trademarks, trade names and service marks. This Annual Report also contains trademarks, copyrights, tradenames and service marks of other companies, which are the property of their respective owners. We do not intend our use or display of other companies’ trademarks, copyrights, trade names or service marks to imply a relationship with, or endorsement or sponsorship of us by, any other companies. Each trademark, copyright, trade name, or service mark of any other company appearing in this Annual Report is the property of its respective holder.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18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spacing w:after="0" w:line="16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Certain estimates of market opportunity and forecasts of market growth included in this Annual Report may prove to be inaccurate.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spacing w:after="0" w:line="19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Forecasts and other forward-looking information obtained from these sources are subject to the same qualifications and uncertainties as the other forward-looking statements in this Annual Report.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Special Note Regarding Forward-Looking Statements and Risk Factor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RISK FACTOR SUMMARY</w:t>
      </w:r>
    </w:p>
    <w:p>
      <w:pPr>
        <w:spacing w:after="0" w:line="24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This Annual Report contains certain estimates and “forward-looking statements” within the meaning of the Private Securities Litigation Reform Act of 1995, the provisions of Section 27A of the Securities Act of 1933 (the “Securities Act”) and Section 21E of the Exchange Act of 1934 (the “Exchange Act”). Forward-looking statements include financial projections, statements of plans and objectives for future operations, statements of future economic performance, and statements of assumptions relating thereto, including, but not limited to statements regarding: market opportunity; forecasts; market growth and growth strategy; capital deployment strategy; demand; dependence on third parties such as advertisers, publishers and third-party data providers; our technology investment decisions; industry conditions; changes in technology and regulation and the impact thereof, including with respect to AI; plans with respect to our intellectual property rights; our competition; global and local economic and geopolitical forces and unrest, including the war involving the United States, Israel and Iran, the war and hostilities involving Israel, Hamas, Hezbollah, and Yemen and the Ukraine/Russia war; seasonality; dependence on our sales and support team; our positioning and strategy; digital advertising trends overall; our solutions and platform; customers; our dividend policy and our buyback program; the Trading Structure Changes we implemented, our commercial partnerships, our equity investments, working capital and the sufficiency thereof; financial metrics such as revenue, costs and expenses, including capital expenditures; legal proceedings and tax. Forward-looking statements may appear throughout this report, including without limitation, in Item 3. “</w:t>
      </w:r>
      <w:r>
        <w:rPr>
          <w:rFonts w:ascii="Times New Roman" w:cs="Times New Roman" w:eastAsia="Times New Roman" w:hAnsi="Times New Roman"/>
          <w:sz w:val="18"/>
          <w:szCs w:val="18"/>
          <w:i w:val="1"/>
          <w:iCs w:val="1"/>
          <w:color w:val="auto"/>
        </w:rPr>
        <w:t>Key Information 3.D.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Item 4</w:t>
      </w:r>
      <w:r>
        <w:rPr>
          <w:rFonts w:ascii="Times New Roman" w:cs="Times New Roman" w:eastAsia="Times New Roman" w:hAnsi="Times New Roman"/>
          <w:sz w:val="18"/>
          <w:szCs w:val="18"/>
          <w:i w:val="1"/>
          <w:iCs w:val="1"/>
          <w:color w:val="auto"/>
        </w:rPr>
        <w:t>. “Information on the Company</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 Financial Review and Prospects 5.A. Operating Results</w:t>
      </w:r>
      <w:r>
        <w:rPr>
          <w:rFonts w:ascii="Times New Roman" w:cs="Times New Roman" w:eastAsia="Times New Roman" w:hAnsi="Times New Roman"/>
          <w:sz w:val="18"/>
          <w:szCs w:val="18"/>
          <w:color w:val="auto"/>
        </w:rPr>
        <w:t>.” In some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forward-looking statements can be identified by words or phrases such as “may,” “might,” “will,” “could,” “would,” “should,” “expect,” “plan,” “anticipate,” “intend,” “seek,” “believe,” “estimate,” “predict,” “potential,” “continue,” “contemplate,” “possible” or the negative of these terms or similar expressions.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risks, assumptions and factors that could cause our actual results or conditions to differ materially from our forward-looking statements include, among others, the items in the following list, which also summarizes some of our most principal risks:</w:t>
      </w:r>
    </w:p>
    <w:p>
      <w:pPr>
        <w:spacing w:after="0" w:line="202"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depend on adding new advertisers and publishers, effectively educating and training our existing advertisers and publishers on how to make full use of our platform and increasing usage of our platform by advertisers and publishers;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access to advertising spend from a limited number of DSPs, agencies and advertisers, which may be reduced or terminated at any time;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and expand access to valuable inventory from publishers, including our largest publishers;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may fail to make the right investment decisions in our platform, or if we fail to innovate and develop new solutions that are adopted by advertisers and publishers, we may not attract and retain advertisers and publishers, which could have an adverse effect on our business, results of operations and financial condition;</w:t>
      </w:r>
    </w:p>
    <w:p>
      <w:pPr>
        <w:spacing w:after="0" w:line="1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parts of our business depend on relationships with data providers for data sets used to deliver targeted campaigns;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access to data, and limitation on its collection, use or disclosure could materially harm our business;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“cookies,” mobile device IDs, CTV tracking, or other technologies could reduce the effectiveness of our platform and materially harm our business;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content, inventory, and brand safety standards or maintain the trust of our advertisers and publishers, our reputation and business could be harmed;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grow rapidly and manage that growth effectively; failure to do so could harm our business and reduce shareholder value;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and increased competition could harm our business;</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buying for advertising campaigns is evolving and, if this market develops slower or differently than we expect, our business, operating results and financial condition could be adversely affected;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platform integrity, prevent fraud or adapt to changing consumer behavior could harm our business, reputation and operating results;</w:t>
      </w:r>
    </w:p>
    <w:p>
      <w:pPr>
        <w:spacing w:after="0" w:line="18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platform infrastructure to support anticipated growth and transaction volume;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service from our third-party data center hosting facilities and cloud computing and hosting providers could impair the delivery of our services and harm our business;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and harm to our business based on the human factor of inputting information into our platform;</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including impersonation and fraud schemes that exploit out brand, and any significant failure or breach of our systems, or those of our third-party vendors, could harm our business;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intellectual property rights;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non-proprietary technology, software, products, and services;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demand for advertising and reductions in marketing spend;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conditions including potential headwinds related to inflation, high interest rates, evolving U.S. and global trade dynamics (including tariffs) and global supply chain constraints;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use and development of Generative Artificial Intelligence (“AI”);</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the use of the advertising or publishing channels that we primarily depend on, or failure to expand into emerging channels;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CTV advertising develops in ways that limit the delivery of ads to viewers, our business, results of operating and financial conditions could be adversely affected;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the market in which we participate;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or market changes in advertising activity;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growth and training of our sales and support teams;</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and hostilities between the United States, Israel and Iran, and between Israel and Hamas, Hezbollah, and Yemen, and other risks relating to our employees or our location in Israel;</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 including our ability to collect payments from advertisers;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party to a credit agreement which contains a number of covenants that may restrict our current and future operations and could adversely affect our ability to execute business needs;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constraints;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legal or regulatory issues;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associated with our financial profile and our Ordinary Shares.</w:t>
      </w:r>
    </w:p>
    <w:p>
      <w:pPr>
        <w:spacing w:after="0" w:line="237"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color w:val="auto"/>
        </w:rPr>
        <w:t>These risks factors are discussed in more detail in this Annual Report, including under Item 3. “</w:t>
      </w:r>
      <w:r>
        <w:rPr>
          <w:rFonts w:ascii="Times New Roman" w:cs="Times New Roman" w:eastAsia="Times New Roman" w:hAnsi="Times New Roman"/>
          <w:sz w:val="18"/>
          <w:szCs w:val="18"/>
          <w:i w:val="1"/>
          <w:iCs w:val="1"/>
          <w:color w:val="auto"/>
        </w:rPr>
        <w:t>Key Information – 3.D. Risk Factors</w:t>
      </w:r>
      <w:r>
        <w:rPr>
          <w:rFonts w:ascii="Times New Roman" w:cs="Times New Roman" w:eastAsia="Times New Roman" w:hAnsi="Times New Roman"/>
          <w:sz w:val="18"/>
          <w:szCs w:val="18"/>
          <w:color w:val="auto"/>
        </w:rPr>
        <w:t>.” The forward-looking statements in this Annual Report are only predictions. These statements are inherently uncertain, subject to risks and uncertainties, some of which cannot be predicted or quantified, and investors are cautioned not to unduly rely upon these statements. The events and circumstances reflected in our forward-looking statements may not be achieved or occur and actual results could differ materially from those projected in the forward-looking statements.</w:t>
      </w:r>
    </w:p>
    <w:p>
      <w:pPr>
        <w:spacing w:after="0" w:line="184"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86"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been filed as exhibits to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17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REASONS FOR THE OFFER AND USE OF PROCEEDS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41"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all of the other information included in this Annual Report, in evaluating us and our ordinary shares (“Shares”). Our business, financial condition or results of operations could be materially and adversely affected by any of these risks. The trading price and value of our Shares could decline due to any of these risks,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Additional risks not presently known to us or that we currently deem immaterial may also impair our business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3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adding new advertisers and publishers, effectively educating and training our existing advertisers and publishers on how to make full use of our platform and increasing usage of our platform by advertisers and publishers.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and sustainability are dependent on regularly adding new advertisers and publishers and increasing their usage of our platform. Our contracts and relationships with advertisers and publishers generally do not include long-term or exclusive obligations requiring them to use, maintain use or increase use of our platform. Advertisers and publishers typically have relationships with numerous providers and can use both our platform and those of our competitors without incurring significant costs or disruption. They may also choose to decrease their overall advertising spend for any reason, including if they do not believe they are receiving a sufficient return. Accordingly, we must continually work to add new advertisers and publishers to our customer base, retain our existing advertisers and publishers, increase their usage of our platform and capture a larger share of their advertising spend.</w:t>
      </w:r>
    </w:p>
    <w:p>
      <w:pPr>
        <w:spacing w:after="0" w:line="20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may not be successful at educating and training advertisers and publishers, especially new ones, on how to use our platform for them to most benefit from our technology and increase their usage. If these efforts are unsuccessful or advertisers or publishers decide not to maintain or increase their usage of our platform for any other reason, or if we fail to attract new advertisers or publishers, our revenue could fail to grow or may decline, which could materially and adversely harm our business, operating results and financial condition.</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access to advertising spend from a limited number of DSPs, agencies, and advertisers, which may be reduced or terminated at any time.</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depends on our ability to maintain and expand our access to advertising spend from advertisers that purchase advertising inventory through demand-side platforms (“DSPs”), as well as from agencies and direct advertisers that execute their purchases through DSPs, in order to buy impressions from our publishers. A limited number of large advertising customers may account for a significant portion of our revenue. For the year ended December 31, 2025, two buyers represent 12.1% and 11.3% of revenue. For the year ended December 31, 2024, one buyer represents 11.5% of revenue. For the year ended December 31, 2023, no individual buyer accounted for more than 10% of revenue. As of December 31, 2025, two buyers accounted for 22.6% and 10.7% of trade receivables. As of December 31, 2024, three buyers accounted for 19.1%, 12.1% and 11.2% of trade receivables. As of December 31, 2025, and December 31, 2024 no individual vendor accounted for more than 10% of trade payables.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master service agreements with most DSPs and other customers automatically renew for successive one-year terms but generally allow either party to terminate the agreement for convenience with 30-days' prior written notice. We expect to continue to rely on a limited number of DSPs and advertising customers for a large percentage of impressions purchased on our platform for the foreseeable future. Any disruptions in our relationships with DSPs, agencies, or advertisers could harm our business, results of operations and financial condition.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support our future growth, we must increase the levels of use of our platform by existing DSPs, agencies, and advertisers.</w:t>
      </w:r>
    </w:p>
    <w:p>
      <w:pPr>
        <w:spacing w:after="0" w:line="239"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However, we generally do not have minimum spending commitments from advertisers, agencies, or DSPs, meaning the level of demand available on our platform can change at any time. As a result, we cannot guarantee that we will have consistent access to a stable volume or quality of advertising spend. If an advertiser or DSP that represents a significant portion of the demand in our platform materially reduces its use of our services, our revenue and profitability could decline immediately and significantly, which could materially and adversely affect our business,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and expand access to valuable inventory from publishers, including our largest publishers.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depends on our access to valuable publisher inventory. We depend upon publishers, including channel partners, which aggregate large numbers of smaller publishers, to provide advertising inventory which we can offer to prospective advertisers. A relatively small number of publishers have historically accounted for a significant portion of the advertising inventory sold on our platform, as well as a significant portion of our revenue, including a relatively small number of channel partners. To support our continued growth, we will seek to add additional publishers to our platform and to expand current utilization with our existing publishers.</w:t>
      </w:r>
    </w:p>
    <w:p>
      <w:pPr>
        <w:spacing w:after="0" w:line="18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In general, our relationships with publishers do not contain minimum commitments. The amount, quality and cost of inventory available on our platform can change at any time, and we cannot ensure that we will have access to a consistent volume or quality of inventory at a reasonable cost, or at all. Any disruptions in our relationships with publishers or our largest channel partners could adversely affect our business, results of operations and financial condition. If we cannot retain or add individual publishers with valuable inventory, or if such publishers decide not to make their valuable inventory available on our platform, then advertisers may be less inclined to use our platform, which could adversely affect our business, results of operations and financial condition.</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If we fail to make the right investment decisions in our platform, or if we fail to innovate and develop new solutions that are adopted by advertisers and publishers, we may not attract and retain advertisers and publishers, which could have an adverse effect on our business, results of operations and financial condition.</w:t>
      </w:r>
    </w:p>
    <w:p>
      <w:pPr>
        <w:spacing w:after="0" w:line="19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We face intense competition in the marketplace and are confronted by rapidly changing technology, evolving industry standards, consumer preferences, regulatory changes and the frequent introduction of new solutions by our competitors to which we must adapt and address. We need to continuously update our platform and the technology in which we invest and develop, including our machine learning, generative artificial intelligence and other proprietary algorithms, to attract publishers and advertisers and stay ahead of changes in technology, evolving industry standards and regulatory requirements. Our platform is complex and new solutions can require a significant investment of time and resources to develop, test, introduce, enhance, and maintain. These activities can take longer than we expect and we may not make the right decisions regarding our pursuit of these investments. New formats and channels, such as mobile header bidding and CTV, present unique challenges and our success in new formats and channels depends upon our ability to integrate them with our platform. If our mobile and video solutions, or our CTV solutions, are not widely adopted by advertisers and publishers, we may not retain advertisers and publishers. In addition, new demands from advertisers or publishers, superior offerings by competitors, changes in technology, or new industry standards or regulatory requirements could render our platform or our existing solutions less effective and require us to make unanticipated changes to our platform or business model. Furthermore, our focus on our end-to-end platform may decrease our responsiveness and agility to respond to changes or innovations specific to either our DSP or SSP solutions. Our failure to adapt to a rapidly changing market, anticipate changing demand, or attract and retain advertisers or publishers would cause our revenue or revenue growth rate to decline and adversely affect our business, results of operations and financial condition.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parts of our business depend on relationships with data providers for data sets used to deliver targeted campaigns.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deliver targeted advertising campaigns depends on our ability to acquire effective data sets, which we do through a combination of proprietary data sets as well as data sets that we purchase from third parties. If any third-party data providers decide not to make data sets available to us, decide to increase their price or place significant restrictions on the use of their data, we may not be able to replace this with our own proprietary data sets or those of other third-party providers that satisfy our requirements in a timely and cost-effective manner. In addition, some data set providers in the industry may enter into exclusivity arrangements with our competitors, which could limit our access to a meaningful supply of data and give them a competitive advantage. Any limitations on access to these third-party data sets could impair our ability to deliver effective solutions, which could adversely affect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access to data, and limitations on its collection, use, or disclosure could materially harm our business.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platform, we process large volumes of data about advertising transactions, such as consumer, advertiser, and publisher preferences, ad placement, size and format, pricing, bid response, and auction outcomes. We also collect automatic content recognition (“ACR”) data that, while not identifying the individual, includes device characteristics, online browsing behavior, exposure to and interaction with advertisements, and inferential data about purchase intentions and preferences. This data is collected through our systems, pixels on publisher websites, software development kits in mobile apps and smart TVs, cookies, and other tracking technologies. Publishers, advertisers, and third-party data providers may also supply proprietary data to us.</w:t>
      </w:r>
    </w:p>
    <w:p>
      <w:pPr>
        <w:spacing w:after="0" w:line="18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aggregate and analyze this data to enhance our services, improve ad pricing, placement, and delivery, and provide real-time analytics to our publishers and advertisers. Our ability to collect, use, and share this data is critical to effectiveness and value of our solutions.</w:t>
      </w:r>
    </w:p>
    <w:p>
      <w:pPr>
        <w:spacing w:after="0" w:line="1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there are technical, operational, and regulatory challenges that could limit our ability to collect or use this data. Browser and operating system changes, such as restrictions on cookies or mobile and CTV tracking, consumer opt-out tools, and publisher-imposed limits may reduce the amount or quality of data we can collect. Regulatory frameworks, including the European Union’s General Data Protection Regulation (“GDPR”), the California Consumer Privacy Act and California Privacy Rights Act (“CCPA/CPRA”), and other privacy laws globally, may impose restrictions on data collection, storage, aggregation, or use. Regulatory investigations, enforcement actions, and evolving standards in the advertising technology (“AdTech”) industry may require us to modify how we collect or use data or incur substantial costs to comply. For example, privacy frameworks such as the Interactive Advertising Bureau’s Transparency and Consent Framework (“TCF”) have been subject to scrutiny by European regulators, and the rules governing user consent for behavioral advertising continue to evolve. The application of similar consent standards to mobile and CTV ecosystems remains uncertain, and limited adoption of standardized consent mechanisms could reduce the data we can access and use in these channels.</w:t>
      </w:r>
    </w:p>
    <w:p>
      <w:pPr>
        <w:spacing w:after="0" w:line="190"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Additionally, publishers and advertisers may place restrictions on the data we collect or use, either due to legal requirements or business considerations. Existing or new partners could limit our access to their data or determine that they cannot provide data in compliance with applicable privacy laws.</w:t>
      </w:r>
    </w:p>
    <w:p>
      <w:pPr>
        <w:spacing w:after="0" w:line="19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Any restrictions, limitations, or changes in technology, consumer behavior, publisher permissions, or regulations that reduce the availability or usefulness of data could impair our ability to deliver effective advertising solutions. This could materially and adversely affect our business, results of operations, and financial condition.</w:t>
      </w:r>
    </w:p>
    <w:p>
      <w:pPr>
        <w:spacing w:after="0" w:line="17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Restrictions on cookies, mobile device IDs, CTV tracking, or other technologies could reduce the effectiveness of our platform and materially harm our business.</w:t>
      </w:r>
    </w:p>
    <w:p>
      <w:pPr>
        <w:spacing w:after="0" w:line="15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Our platform relies on tracking technologies, including cookies, mobile device identifiers, CTV data collection, and other methods, to collect data that enables advertisers to make more informed decisions about bidding, pricing, and placement of advertising. These technologies do not identify consumers directly but provide information such as when a consumer views or clicks on an advertisement, uses a mobile app, or interacts with content on a smart TV, as well as device characteristics, location, and browser information. Publishers, advertisers, and data partners may also provide us with proprietary data or allow the use of their tracking technologies.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ind w:firstLine="324"/>
        <w:spacing w:after="0" w:line="282" w:lineRule="auto"/>
        <w:rPr>
          <w:sz w:val="20"/>
          <w:szCs w:val="20"/>
          <w:color w:val="auto"/>
        </w:rPr>
      </w:pPr>
      <w:r>
        <w:rPr>
          <w:rFonts w:ascii="Times New Roman" w:cs="Times New Roman" w:eastAsia="Times New Roman" w:hAnsi="Times New Roman"/>
          <w:sz w:val="18"/>
          <w:szCs w:val="18"/>
          <w:color w:val="auto"/>
        </w:rPr>
        <w:t>Recent and ongoing changes in technology, privacy regulations, and consumer behavior may limit our ability to use these tracking technologies effectively. For example:</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browsers and operating systems, such as Safari, iOS, and Chrome, are restricting the use of third-party cookies and mobile device identifiers.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and over-the-top platforms are increasingly limiting access to device-level identifiers and tracking mechanisms, and industry standards for consent and data use are still evolving.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laws and regulations, including GDPR in the European Union, CCPA/CPRA in California, and other U.S. state and global privacy frameworks, require user consent, impose opt-out rights, and may limit the use or sharing of tracking data.</w:t>
      </w:r>
    </w:p>
    <w:p>
      <w:pPr>
        <w:spacing w:after="0" w:line="175"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If these tracking technologies are restricted, and widely adopted alternatives are not available, our platform could lose insight into consumer activity, making advertising less precise and reducing the value of advertising placements. This could adversely affect our reporting capabilities, the effectiveness of advertising campaigns, and our revenue.</w:t>
      </w:r>
    </w:p>
    <w:p>
      <w:pPr>
        <w:spacing w:after="0" w:line="182"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may attempt to develop or adopt alternative methods, such as first-party data collection, probabilistic modeling, or contextual advertising, but these solutions may be time-consuming, costly, less effective, or subject to additional regulatory requirements. Any limitations on the use of cookies, mobile device IDs, CTV tracking, or other tracking technologies could materially and adversely affect our business, results of operations, and financial condition.</w:t>
      </w:r>
    </w:p>
    <w:p>
      <w:pPr>
        <w:spacing w:after="0" w:line="1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content, inventory, and brand safety standards or maintain the trust of advertisers and publishers, our reputation and business could be harmed.</w:t>
      </w:r>
    </w:p>
    <w:p>
      <w:pPr>
        <w:spacing w:after="0" w:line="15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generally do not create or control the content of advertisements or the content of the digital media inventory made available through our platform. Advertisers are responsible for the advertising content they provide, and publishers are responsible for the content of the inventory they offer. Both advertisers and publishers are highly sensitive to brand safety, content integrity and regulatory compliance associated with content they consider inappropriate, competitive, inconsistent with their brands, or illegal.</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As a result, our reputation and the value of our platform depend, in part, on our ability to provide services that our advertisers and publishers trust and to comply with contractual content and inventory standards. We use third party tools and other processes to review and monitor the inventory provided by publishers to ensure compliance with our standards. However, these tools, have inherent limitations and may not always identify or prevent inventory placements that advertisers or publishers later determine to be unacceptable.</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seek to contractually prohibit misuse of our platform by agencies (and their advertiser customers) and by publishers, but we may not always be successful in achieving comprehensive protection or enforcing compliance. Despite these efforts, advertisers may inadvertently purchase inventory that they consider unsuitable for their cases, we may not be able unable to collect revenue from advertisers or recover amounts already paid to publishers, which could adversely affect our results of operations.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standards regarding what advertisers or publishers consider offensive, objectionable or inappropriate are constantly evolving and may vary across geographies, industries and individual customers. Our contractual arrangements and technical controls may not fully anticipate or reflect these changing expectations. Advertisers may also intentionally run campaigns that do not comply with publisher standards, attempt to use targeting practices that are illegal, unethical, or noncompliant, or seek to place advertising in jurisdictions where such advertising is restricted or where the regulatory environment is uncertain. If this occurs, publishers may limit or withdraw inventory from our platform, which could reduce available supply, damage our reputation, and adversely affect our business, operating results and financial condition.</w:t>
      </w:r>
    </w:p>
    <w:p>
      <w:pPr>
        <w:spacing w:after="0" w:line="18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grow rapidly and manage that growth effectively; failure to do so could harm our business and reduce shareholder value.</w:t>
      </w:r>
    </w:p>
    <w:p>
      <w:pPr>
        <w:spacing w:after="0" w:line="15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The advertising technology market is highly dynamic and competitive, and our long-term success depends on continued adoption of programmatic advertising and our ability to develop and deploy innovative technologies and solutions that address the evolving needs of advertisers and digital media property owners. To compete effectively with larger, better-capitalized competitors, we believe we must grow our business and achieve greater scale and market reach. Our ability to achieve this growth depends in significant part on the quality of our strategic vision, planning, and execution. The advertising market is evolving rapidly, and strategic decisions regarding product development, technology investments, market positioning, partnerships and acquisitions involve significant risks. If we make incorrect or untimely strategic decisions, we could lose our competitive position, customer confidence or market share, and we may not be able to recover and achieve our objectives. Sustained growth also requires access to capital and our ability to deploy capital efficiently. We must continue to invest in hiring and retaining skilled personnel, expanding and maintaining the infrastructure required to operate our platform, acquiring or integrating complementary businesses or technologies, and developing scalable sales, marketing, finance, administrative and management functions. Rapid growth, or efforts to grow, may place significant strain on our operational, financial and managerial resources and may expose weaknesses in our systems, processes and controls. If we are not able to grow at the pace we anticipate, manage growth effectively, or continue to innovate in response to market changes, the value of our business could decline and our business, results of operations and financial condition could be adversely affected.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and increased competition could harm our business.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advertising technology market is highly competitive and is undergoing significant consolidation. Larger competitors are increasingly acquiring smaller companies, expanding their product offerings, and integrating services across the value chain. The consolidation has increased, and may further increase, pricing pressure on us, as larger competitors are able to offer bundled solutions, leverage their scale, and negotiate more favorable terms with advertisers and publishers than we can.</w:t>
      </w:r>
    </w:p>
    <w:p>
      <w:pPr>
        <w:spacing w:after="0" w:line="186" w:lineRule="exact"/>
        <w:rPr>
          <w:sz w:val="20"/>
          <w:szCs w:val="20"/>
          <w:color w:val="auto"/>
        </w:rPr>
      </w:pPr>
    </w:p>
    <w:p>
      <w:pPr>
        <w:jc w:val="both"/>
        <w:ind w:firstLine="370"/>
        <w:spacing w:after="0" w:line="281" w:lineRule="auto"/>
        <w:rPr>
          <w:sz w:val="20"/>
          <w:szCs w:val="20"/>
          <w:color w:val="auto"/>
        </w:rPr>
      </w:pPr>
      <w:r>
        <w:rPr>
          <w:rFonts w:ascii="Times New Roman" w:cs="Times New Roman" w:eastAsia="Times New Roman" w:hAnsi="Times New Roman"/>
          <w:sz w:val="18"/>
          <w:szCs w:val="18"/>
          <w:color w:val="auto"/>
        </w:rPr>
        <w:t>Consolidation may also strengthen relationships between large advertisers, publishers, and dominant advertising technology platforms, making it more difficult for us to retain existing customers or attract new ones. As competitors grow in scale, they may gain greater control over critical data, advanced AI-driven targeting capabilities, or proprietary ad-serving technologies, which could place us at a competitive disadvantage.</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addition, increased competition from large, integrated players may create barriers to entry or expansion. These competitors may have greater financial resources, broader customer bases, and more comprehensive product offerings, which could limit our ability to enter new markets, invest in product innovation, or expand our services. If we are unable to compete effectively in this increasingly consolidated market, our revenues, growth prospects, and profitability could be materially adversely affected.</w:t>
      </w:r>
    </w:p>
    <w:p>
      <w:pPr>
        <w:spacing w:after="0" w:line="1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buying for advertising campaigns is evolving. If this market develops slower or differently than we expect, our business, operating results and financial condition could be adversely affected.</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derive revenue from programmatic advertising on our end-to-end platform. We expect that programmatic advertising will continue to be our primary source of revenue for the foreseeable future and that our revenue growth will largely depend on increasing our customers’ usage of our platform. While the market for programmatic advertising for desktop and mobile is relatively established, the market in other channels is still emerging, and our current and potential customers may not shift quickly enough to programmatic advertising from other buying methods, which would reduce our growth potential. If the market for programmatic advertising deteriorates or develops more slowly than we expect, it could reduce demand for our platform and our business, growth prospects and financial condition could be adversely affected.</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platform integrity, prevent fraud or adapt to changing consumer behavior could harm our business, reputation, and operating results.</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business depends on the trust of advertisers, publishers, and consumers, as well as the effective operation of our platform. If we fail to maintain platform integrity, prevent fraud or respond effectively to changes in consumer behavior and technology, our business, results of operations and financial condition could be adversely affected.</w:t>
      </w:r>
    </w:p>
    <w:p>
      <w:pPr>
        <w:spacing w:after="0" w:line="182"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We may be subject to fraudulent, deceptive or malicious activities by individuals or organizations seeking to misuse our platform, including attempts to inflate or divert advertising spend, generate fraudulent impressions or clicks, distribute malware, or compromise the systems or devices of publishers or consumers. We use proprietary technology, third-party tools and industry collaboration to detect and mitigate click fraud, malware and other malicious activity, but these measures are not foolproof. Preventing fraud is an industry-wide challenge that requires constant vigilance, and we cannot guarantee that we will be successful in all cases. Any failure to detect or prevent such activity could damage our reputation, reduce advertiser or publisher confidence, result in the loss of business, or expose us to legal claims or liability.</w:t>
      </w:r>
    </w:p>
    <w:p>
      <w:pPr>
        <w:spacing w:after="0" w:line="18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Our advertisers and publishers expect advertisements and inventory served through our platform to meet evolving standards related to brand safety, content appropriateness, legality, and quality. Although we use third-party tools and contractual provisions designed to enforce content and inventory standards, these tools have limitations, and we do not independently verify all advertising or publisher content. If advertisers inadvertently purchase inventory, they consider unacceptable, or if publishers believe advertising served through our platform violates their standards or applicable laws, they may reduce or terminate their use of our services, and we may be unable to collect revenue or recoup payments made to publishers.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 w:name="page14"/>
    <w:bookmarkEnd w:id="1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consumers increasingly use technologies that limit the collection and use of data or the delivery of digital advertising, including cookie blocking or deletion, browser and operating system privacy controls, opt-out mechanisms, subscription-based ad-free services and ad-blocking software. Major browsers, mobile operating systems, and platforms continue to restrict third-party tracking and access to device identifiers, which may reduce the effectiveness of interest-based advertising. Because our platform relies in part on third-party data, these developments could disproportionately impact our ability to deliver targeted advertising compared to competitors with large first-party data assets. If the use of ad-blocking, opt-out or privacy-enhancing technologies continues to grow, the value and effectiveness of digital advertising could decline, adversely affecting demand for our platform.</w:t>
      </w:r>
    </w:p>
    <w:p>
      <w:pPr>
        <w:spacing w:after="0" w:line="19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take steps to mitigate these risks by monitoring our platform for fraud and malware, working with advertisers and publishers to uphold content and inventory standards, and adapting our technology and practices in response to evolving privacy, regulatory and consumer expectations. However, these efforts may not fully prevent the risks described above, and any failure to maintain trust in our platform could materially harm our business, operating results, and financial condition.</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scale our platform infrastructure to support anticipated growth and transaction volume. If we fail to do so, we may limit our ability to process inventory and we may lose revenue.</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depends on processing inventory in milliseconds, and we must handle an increasingly large volume of such transactions. The addition of new solutions, such as header bidding in mobile and CTV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w:t>
      </w:r>
    </w:p>
    <w:p>
      <w:pPr>
        <w:spacing w:after="0" w:line="18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Disruptions to service from our third-party data center hosting facilities and cloud computing and hosting providers could impair the delivery of our services and harm our business.</w:t>
      </w:r>
    </w:p>
    <w:p>
      <w:pPr>
        <w:spacing w:after="0" w:line="15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A significant portion of our business relies upon hardware and services that are hosted, managed and controlled by third-party co-location providers for our data centers, and we are dependent on these third parties to provide continuous power, cooling, Internet connectivity and physical and technological security for our servers. In the event that these third-party providers experience any interruption in operations or cease business for any reason, or if we are unable to agree on satisfactory terms for continued hosting relationships, we would be forced to use other service providers or assume some hosting responsibilities ourselves which may come at a significant cost. Even a disruption as brief as a few minutes could have a negative impact on marketplace activities and could result in a loss of revenue. These facilities may be located in areas prone to natural disasters and may experience catastrophic events such as earthquakes, fires, floods, power loss, telecommunications failures, acts of war or terrorism, public health crises, such as the COVID-19 pandemic, and similar events. They may also be subject to break-ins, sabotage, intentional acts of vandalism, cyber-attacks and similar misconduct. Such events could cause damage to, or failure of, our systems generally, or those of the third-party cloud computing and hosting providers, which could result in disruptions to our service and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accidently go significantly over budget. While our customer contracts state that customers are responsible for media purchased through our platform, we are ultimately responsible for paying the inventory providers and we may be unable to collect when such issues occur.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including impersonation and fraud schemes that exploit our brand, and any significant failure or breach of our systems, or those of our third party vendors, could harm our business.</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business depends on the secure and reliable operation of our information technology systems and those of our third-party vendors and service providers. We face ongoing cybersecurity risks, including unauthorized access, service disruptions, malware, ransomware, phishing, social engineering, and other cyber-enabled fraud.</w:t>
      </w:r>
    </w:p>
    <w:p>
      <w:pPr>
        <w:spacing w:after="0" w:line="18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We have also addressed incidents involving typo-squatting and brand impersonation, in which third parties used domains or digital assets similar to our name or branding. In certain instances, fraudsters misused our brand and logo in connection with “optimizer” scams intended to falsely represent that individuals were being recruited to work for us, when they were not interacting with the Company or any authorized representative. These activities did not involve unauthorized access to our core platform or customer systems, but could harm our reputation and require ongoing monitoring and enforcement efforts.</w:t>
      </w:r>
    </w:p>
    <w:p>
      <w:pPr>
        <w:spacing w:after="0" w:line="18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In July 2024, we experienced a cybersecurity incident in which unauthorized individuals gained access to certain systems. While we detected and contained the incident promptly, we cannot guarantee that similar incidents will not occur in the future, or that any new incidents would not have a more severe impact. Although the investigation confirmed that no customer data or financial information was compromised, we recognize the possibility that although not material, at the time, IT systems information may have been exposed. As of the date of this filing, we estimate the direct costs of responding to and remediating the cybersecurity incident to be minimal.</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Cybersecurity incidents put us at risk for interruptions, outages and breaches of: operational systems, including business, financial, accounting, product development, data processing, and production processes, owned by us or our third-party vendors or suppliers; facility security systems, owned by us or our third-party vendors or suppliers; in-product technology owned by us or our third-party vendors or suppliers; the integrated software in our solutions; or personal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drivers or others; jeopardize the security of our facilities; or affect the performance of in-product technology and the integrated software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require constant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controls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 In addition, our insurance coverage for cyber-attacks may not be sufficient to cover all the losses we may experience as a result of a cyber incident. Any problems with our third-party cloud hosting providers, whether due to cyber security failures or other causes, could result in lengthy interruptions in our business.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negatively impact our business.</w:t>
      </w:r>
    </w:p>
    <w:p>
      <w:pPr>
        <w:spacing w:after="0" w:line="243"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We regard the protection of our intellectual property, which includes trade secrets, copyrights, trademarks and domain names, as critical to our success. We rely on a combination of patent, trademark, copyright, trade secret laws, confidentiality procedures and contractual provisions to protect our proprietary methods and technologies, and own more than 50 patents. We generally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 Those agreements that we do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 Breaches of the security of our solutions, databases or other resources could expose us to a risk of loss or unauthorized disclosure of information collected, stored or transmitted for, or on behalf of, advertisers or publishers, or of cookies, data stored in cookies, other user information or other proprietary or confidential information.</w:t>
      </w:r>
    </w:p>
    <w:p>
      <w:pPr>
        <w:spacing w:after="0" w:line="182"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In addition, we register certain domain names, trademarks and service marks in the United States and in certain locations outside the United States. We also rely upon common law protection for certain marks. Any of our patents, trademarks or other intellectual property rights may be challenged by others or invalidated through administrative process or litigation. We recently rebranded our Company’s various businesses under the name “Nexxen” and associated Nexxen logo, in order to further promote our unified service and product offerings and Company has invested resources in its rebranding. Our competitors and others could attempt to capitalize on our brand recognition by using domain names or business names similar to ours. Domain names and trademarks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secrets,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filings that could be expensive and time-consuming.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Market in Which We Operate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non-proprietary technology, software, products, and services could harm our business.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on third-party or open-source technology, software, products, and data to support critical functions of our platform, including delivering targeted advertising campaigns. Our ability to obtain and maintain these resources on commercially reasonable terms is essential to our operations. If these technologies, products, or data sets become unavailable, fail to perform as expected or are subject to terms we cannot accept, we could experience service disruptions, errors, or higher costs. Negotiating and integrating third-party technology can be complex, costly and time-consuming matters, and may require upfront commitments or ongoing fees. Any failure by a third-party provider to maintain, support, secure, or provide their technology or data could materially affect our platform, administrative processes, or other aspects of our business. Changes in costs or availability of these services could force us to find alternatives, which may cause delays, outages, or difficulties in delivering our services.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Our revenue and results of operations are highly dependent on the overall demand for advertising. Factors that affect the amount of advertising spending, such as economic downturns, inflation, supply constraints, geopolitical issues, evolving U.S. and global trade dynamics (including tariffs), and pandemics, can make it difficult to predict our revenue and could adversely affect our business, results of operations and financial condition.</w:t>
      </w:r>
    </w:p>
    <w:p>
      <w:pPr>
        <w:spacing w:after="0" w:line="181"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advertisers. Advertisers have been impacted by challenging and evolving macroeconomic conditions, in some instances creating headwinds related to inflation, high interest rates, evolving U.S. and global trade dynamics (including tariffs), and global supply chain constraints. Our business has been and may be impacted in the future by several factors including international hostilities (such as the United States-Israel-Iran war, and the war and hostilities involving Israel, Hamas, Hezbollah, and Yemen, and the Russia-Ukraine war), inflation, interest rate fluctuations, evolving U.S. and global trade dynamics (including tariffs), pandemics and the resulting economic uncertainty in the United States and global economies. Many advertisers have also suffered and continue to do so as a result of economic downturn, inflation, interest rates, evolving U.S. and global trade policies (including tariffs), and residual impacts from the COVID-19 pandemic, including global supply chain constraints which materially impacted certain verticals. Many marketing budgets decreased their advertising spending as a response to the economic uncertainty and decline in business activity due to macroeconomic conditions which have, and may continue to have, a negative impact on our revenue and results of operations. Macroeconomic factors and uncertainty could cause advertisers to reduce their advertising budgets, and may include the following:</w:t>
      </w:r>
    </w:p>
    <w:p>
      <w:pPr>
        <w:spacing w:after="0" w:line="195"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rising inflation and interest rates, and general uncertainty about an economic downturn, particularly in North America where we do most of our business including recession and depression concerns;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market conditions generally;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policies of publishers and competitors;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treatment of advertising expenses and the deductibility thereof;</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nature of advertising spend on digital advertising campaigns;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example, when Apple or Google change policies for their browsers and operating systems);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hostilities and uncertainty within the U.S. and global political landscape which might create challenges for customers and impact advertising activities; and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U.S. and global trade dynamics (including tariffs).</w:t>
      </w:r>
    </w:p>
    <w:p>
      <w:pPr>
        <w:spacing w:after="0" w:line="225"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Reductions in overall advertising spending as a result of these factors could make it difficult to predict our revenue and could adversely affect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risks beyond our control, which could adversely affect our financial results.</w:t>
      </w:r>
    </w:p>
    <w:p>
      <w:pPr>
        <w:spacing w:after="0" w:line="256" w:lineRule="exact"/>
        <w:rPr>
          <w:sz w:val="20"/>
          <w:szCs w:val="20"/>
          <w:color w:val="auto"/>
        </w:rPr>
      </w:pPr>
    </w:p>
    <w:p>
      <w:pPr>
        <w:ind w:right="300" w:firstLine="321"/>
        <w:spacing w:after="0" w:line="266" w:lineRule="auto"/>
        <w:rPr>
          <w:sz w:val="20"/>
          <w:szCs w:val="20"/>
          <w:color w:val="auto"/>
        </w:rPr>
      </w:pPr>
      <w:r>
        <w:rPr>
          <w:rFonts w:ascii="Times New Roman" w:cs="Times New Roman" w:eastAsia="Times New Roman" w:hAnsi="Times New Roman"/>
          <w:sz w:val="18"/>
          <w:szCs w:val="18"/>
          <w:color w:val="auto"/>
        </w:rPr>
        <w:t>We operate in 180 countries and territories, and our business is exposed to a variety of risks that are largely outside of our control. These include political unrest and regional hostilities, such as the United States-Israel-Iran war and the war and hostilities involving Israel, Hamas, Hezbollah, and Yemen, the Russia-Ukraine war, and rising tensions between China and Taiwan, as well as strikes, civil unrest, and other political events. Other factors beyond our control include natural disasters, severe weather, climate change, pandemics, or global health emergencies, disruptions to infrastructure or utilities, cyberattacks, acts of war or terrorism, and other unforeseen events. Although we cannot predict the timing or impact of such events, they could materially disrupt our operations, damage our reputation, and adversely affect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epidemics, pandemics, and other infectious disease outbreaks could adversely affect our business.</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health epidemics, pandemics, and other infectious disease outbreaks, such as the global COVID-19 pandemic.</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Economic disruptions caused by such events, such as recessions, inflation, or other sustained market instability, can materially impact our customers’ and potential customers’ ability or willingness to spend on advertising. Because we are typically required to pay advertising inventory and data suppliers within a negotiated period of time, regardless of whether our customers pay us on time, or at all, we may not be able to renegotiate better terms. As a result, our financial condition and results of operations may be adversely impacted if the business or financial condition of advertisers and marketers is negatively affected by an infectious disease. Our business depends on the overall demand for advertising and on the economic health of advertisers and publishers that benefit from our platform. As seen during the COVID-19 pandemic, economic uncertainty or downturns can lead advertisers to reduce or pause their advertising budgets, which could decrease usage of our platform and materially harm our business, operating results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related to the use and development of Generative Artificial Intelligence (“AI”)</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increasing adoption and regulatory scrutiny of generative AI technologies may present risks that could materially impact our business, operations, and reputation. We currently utilize or may in the future integrate generative AI technologies into certain aspects of our business, including product development, customer service, content creation, and operational efficiencies. While generative AI offers significant potential benefits, it also presents several risks including compliance with laws and regulations, intellectual property and legal liability concerns, data privacy and security risks, and ethical issues, bias, or misinformation that could arise from AI outputs. If we are unable to effectively manage these risks, our business operations, regulatory compliance, financial results, and reputation may be materially harmed.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353"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decrease in the use of the advertising or publishing channels that we primarily depend on, or failure to expand into emerging channels, could adversely affect our business, results of operations and financial condition.</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could be constrained by the level of acceptance and expansion of emerging channels, as well as the continued use and growth of existing channels in which our capabilities are more established. Our revenue growth may depend on our ability to expand within mobile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trends. For example, we cannot predict whether the growth in demand for our CTV offering will continue. Any decrease in the use of existing channels, whether due to advertisers or publishers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CTV advertising develops in ways that limit the delivery of ads to viewers, our business, results of operations and financial condition could be adversely affected.</w:t>
      </w:r>
    </w:p>
    <w:p>
      <w:pPr>
        <w:spacing w:after="0" w:line="15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While online video advertising has grown rapidly, programmatic solutions for CTV are still relatively new compared to desktop and mobile video advertising. Many CTV publishers with cable or broadcast television backgrounds may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podding,” or the placement of the desired number of advertisements in commercial breaks. Although we have invested significant time and resources to build relationships with CTV publishers, establish best practices, and demonstrate the benefits of programmatic advertising, there is no assurance that CTV publishers will adopt these solutions at the pace we anticipate, or at all. If adoption is slower than expected, our business, results of operations, and financial condition could be materially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We operate in a highly competitive and rapidly changing industry. We expect competition to persist and intensify in the future, which could harm our ability to increase revenue, expand our market share, and maintain or increase profitability. New technologies and methods of buying advertising present a dynamic competitive challenge, as market participants develop and offer new products and services such as products and services utilizing generative artificial intelligence, analytics, and automated media buying and exchanges, aimed at capturing advertising spend or disrupting the digital marketing landscape. Further, our competitors have begun and will continue to offer similar products or services to those we currently offer, including our end-to-end platform, and our ability to compete effectively could be significantly compromised.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face competition from new companies entering the market, including large established companies and companies that we do not yet know about or do not yet exist. For example, certain large, established DSPs within the industry have begun enacting supply path optimization (“SPO”) initiatives which could potentially reduce advertising spend on our platform or within the broader open internet. If existing or new companies develop, market or resell competitive high-value products or services that result in additional competition for advertising spend or advertising inventory, or if they acquire one of our existing competitors or form a strategic alliance with one of our competitors, our ability to compete effectively could be significantly compromised and our results of operations could be harmed.</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and potential competitors may have significantly more financial, technical, marketing and other resources than we have, which may allow them to devote greater resources to the development, promotion, sale and support of their products and services. They may also have more extensive advertiser bases and broader publisher relationships than we have and may be better positioned to execute on advertising conducted over certain channels, such as social media, mobile and video. Some of our competitors may have a longer operating history and greater name recognition. As a result, these competitors may be better able to respond quickly to new technologies, develop deeper advertiser relationships or offer services at lower prices. Any of these developments would make it more difficult for us to sell our platform and could result in increased pricing pressure, increased sales and marketing expense, or the loss of market share.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or market changes in advertising activity could have a material impact on our revenue, cash flow and operating results.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metrics may vary from quarter to quarter due to the seasonal nature of our customers’ spending on advertising campaigns. For example, in prior years, customers tended to devote more of their advertising budgets to the fourth calendar quarter to coincide with consumer holiday spending. In contrast, the first quarter of the calendar year has typically been the weakest in terms of advertising spend. Political advertising could also cause our revenue to increase during election cycles and decrease during other periods, making it difficult to predict our revenue, cash flow and operating results, all of which could fall below our expectations. In addition, adverse economic conditions, inflation, changes in foreign exchange rates or interest rates, evolving U.S. and global trade dynamics (including tariffs), or general economic uncertainty, may cause customers to decrease their advertising spend, which could adversely affect our revenue, cash flow and operating results.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may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Global Operations Including Location in Israel and Our Employees</w:t>
      </w:r>
    </w:p>
    <w:p>
      <w:pPr>
        <w:spacing w:after="0" w:line="23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on our ability to operate internationally, making us susceptible to risks associated with cross-border sales and operations.</w:t>
      </w:r>
    </w:p>
    <w:p>
      <w:pPr>
        <w:spacing w:after="0" w:line="15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serve advertisements in 180 countries and maintain offices in North America, Europe, Asia and Australia. Our expansive global footprint subjects us to a variety of risks and burdens, including:</w:t>
      </w:r>
    </w:p>
    <w:p>
      <w:pPr>
        <w:spacing w:after="0" w:line="16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solutions, including product customizations and adaptation for local practices and regulatory requirements;</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of ongoing compliance with local laws, legal standards, regulatory requirements, tariffs,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w:t>
      </w:r>
    </w:p>
    <w:p>
      <w:pPr>
        <w:spacing w:after="0" w:line="19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exposure to fraud;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uncertainty in foreign countries with less developed legal systems;</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trade laws, tariffs, export quotas, custom duties or customs formalities, embargoes, exchange controls, government controls or other trade restrictions;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differing employer/employee relationships;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that may increase our foreign exchange exposure.</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variations in tax policies among countries where we conduct business, including the complexities of foreign tax laws (including value added, withholding and digital services taxes) and restrictions on the repatriation of earnings;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likelihood of potential or actual violations of domestic and international anti-money laundering laws and anticorruption laws, such as the U.S. Foreign Corrupt Practices Act of 1977, as amended (the “FCPA”) and the U.K. Bribery Act 2010 (the “U.K. Bribery Act”), which correlates with the scope of our sales and operations in foreign jurisdictions and operations in certain industries, such that an increase in such operations would increase risk of non-compliance with the aforementioned laws;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 foreign markets, including potential for geopolitical hostilities and war;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 staffing operations over a broader geographic area with varying cultural norms and customs;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Internet and mobile technology adoption and infrastructure;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factors may require significant management attention and financial resources. Any negative impact from our international business efforts could adversely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harm our business.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From time to time, there may be changes in our executive management team resulting from the hiring or departure of executives, which could disrupt our business. While we have some required notice periods with a limited number of executives, we do not, generally, have 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Inability to attract and retain other highly skilled employees could harm our business.</w:t>
      </w:r>
    </w:p>
    <w:p>
      <w:pPr>
        <w:spacing w:after="0" w:line="25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and may attempt to recruit our highly skilled employees. In addition, certain domestic immigration laws restrict or limit our ability to recruit internationally. Any changes to Israeli, United Kingdom, European or U.S. immigration policies that restrain the flow of technical and professional talent may inhibit our ability to recruit and retain highly qualified employees. In addition, job candidates and existing employees often consider the value of the equity awards they receive in connection with their employment. If the perceived value of our equity awards declines, it may harm our ability to recruit and retain highly skilled employees.</w:t>
      </w:r>
    </w:p>
    <w:p>
      <w:pPr>
        <w:spacing w:after="0" w:line="21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Volatility or lack of appreciation in the price of our Shares may also affect our ability to attract and retain our key employees. Many of our senior personnel and other key employees have become, or will soon become, vested in a substantial amount of restricted stock units (“RSUs”) and performance share units (“PSUs”). Employees may be more likely to leave us if the shares they own or the shares underlying their RSUs or PSUs have significantly decreased in value relative to the original purchase price of the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political, economic and military conditions in Israel, and surrounding regions, could materially and adversely affect our business.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are incorporated under Israeli law and our principal executive offices are located in Israel. Many of our employees, including certain management members, operate from our offices located in Tel Aviv, Israel. In addition, several of our officers and one of our directors, including our Chief Executive Officer and Chief Financial Officer, are residents of Israel. Accordingly, political, economic, and military conditions in Israel and the surrounding regions may directly affect our business and operations.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2023, Hamas terrorists infiltrated Israel’s southern border from the Gaza Strip and conducted a series of attacks on civilian and military targets. Following the attacks, Israel declared war against Hamas and a military campaign against the terrorist organization commenced by the Israel Defense Force (“IDF”). In addition, Hezbollah has also launched attacks against Israeli military sites and troops, and against Israeli towns, and in response to these attacks, the IDF carried out a military operation in Lebanon, including raids on territories controlled by Hezbollah in Southern Lebanon and strikes on sites belonging to Hezbollah in Lebanon. On a separate border, Israel was required to take limited preemptive military actions in Southern Syria in light of the fall of the Assad regime and the takeover of Syria by the Syrian rebels.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Israel faces threats from more distant neighbors, in particular, Iran which conducted missile attacks on Israel in 2024 and 2025, has targeted cyber-attacks against Israeli entities and may be developing nuclear weapons; and the Houthi movement, which controls parts of Yemen and launched, among others, a number of attacks on Israel and marine vessels traversing the Red Sea. The Red Sea is a vital maritime route for international trade traveling to and from Israel. As a result of such disruptions, we may experience in the future delays in supplier deliveries, extended lead times, and increased cost of freight, increased insurance costs, increased purchased materials and manufacturing labor costs. The risk of ongoing supply disruptions may have adverse impact on economic conditions in Israel.</w:t>
      </w:r>
    </w:p>
    <w:p>
      <w:pPr>
        <w:spacing w:after="0" w:line="190"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Further, many Israeli citizens are obligated to perform up to several weeks of annual military reserve duty each year. Our operations could be disrupted by such call-ups, which may include the call-up of members of our management. During the war and hostilities in Israel, the IDF has called up hundreds of thousands of its reserve forces to serve. A number of our Israeli team employees and their family members are subject to military service in the IDF and many of them were called to serve. Such disruption could materially and adversely affect our business, prospects, financial condition, and results of operations</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On February 28, 2026, Israel and the United States launched a joint attack on Iran, targeting key officials, military commanders and facilities, including the assassination of the Iran's Supreme Leader and other key officials and military commanders. Iran launched hundreds of ballistic missiles and drones against civilian targets in Israel and against U.S. military bases, civilian aviation facilities and other civilian targets in several countries in the Persian Gulf.</w:t>
      </w:r>
    </w:p>
    <w:p>
      <w:pPr>
        <w:spacing w:after="0" w:line="18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Military activity and hostilities continue to exist at varying levels of intensity, and the situations remain volatile, with the potential for escalation into a broader regional conflict. We continue to monitor political and military developments closely and examine the consequences for our operations, assets and financial and operational results.</w:t>
      </w:r>
    </w:p>
    <w:p>
      <w:pPr>
        <w:spacing w:after="0" w:line="177"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intensity and duration of Israel’s military endeavors on multiple fronts are difficult to predict, as are the economic implications of the foregoing on our business and operations in particular, and on Israel’s economy in general. These events may be intertwined with wider macroeconomic indications of a deterioration of Israel’s economic standing, that may involve an additional downgrade in Israel’s credit rating by rating agencies (such as the downgrades by Moody’s, S&amp;P and Fitch Rating agencies of the credit rating of Israel), which may have a material adverse effect on our company and its ability to effectively conduct its operations.</w:t>
      </w:r>
    </w:p>
    <w:p>
      <w:pPr>
        <w:spacing w:after="0" w:line="18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Further, the State of Israel and Israeli companies have been subjected to economic boycotts. Several countries still restrict business with the State of Israel and with Israeli companies. These restrictive laws and policies may have an adverse impact on our results of operations, financial condition or the expansion of our business. A campaign of boycotts, divestment, and sanctions has been undertaken against Israel, which could also adversely affect our business. Actual or perceived political instability in Israel or any negative changes in the political environment, may individually or in the aggregate adversely affect the Israeli economy and, in turn, our business, financial condition, results of operations, and prospects.</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Finally, the current elected government in Israel is pursuing certain reforms to Israel’s judicial system. Certain financial, legal and commercial organizations and entities have claimed that such changes, if adopted, could adversely affect the macroeconomic condition in which we operate. At this stage, the proposed legislation has not become effective, and its scope has not been fully determined; we cannot assess the potential impacts of these changes and their likelihood on our business, prospects, financial condition, and results of operation.</w:t>
      </w:r>
    </w:p>
    <w:p>
      <w:pPr>
        <w:spacing w:after="0" w:line="1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58"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We are incorporated under Israeli law. The rights and responsibilities of holders of our Shares are governed by our amended and restated articles of association and the Israeli Companies Law, 5759-1999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Israeli law and our amended and restated articles of association may delay, prevent, or make undesirable an acquisition of all or a significant portion of our Shares or assets.</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Provisions of Israeli law and our amended and restated articles of association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Shares. Among other things:</w:t>
      </w:r>
    </w:p>
    <w:p>
      <w:pPr>
        <w:spacing w:after="0" w:line="186"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regulates mergers and requires that a tender offer be effected when more than a specified percentage of shares in a company are purchased;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requires special approvals for certain transactions involving directors, officers or significant shareholders and regulates other matters that may be relevant to these types of transactions;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Israeli corporate law does not provide for shareholder action by written consent for public companies, thereby requiring all shareholder actions to be taken at a general meeting of shareholders;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do not permit a director to be removed except by a vote of the holders of at least 65% of our outstanding shares entitled to vote at a general meeting of shareholders; and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articles of association provide that director vacancies may be filled by our board of directors.</w:t>
      </w:r>
    </w:p>
    <w:p>
      <w:pPr>
        <w:spacing w:after="0" w:line="22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less appealing to us or to some of our shareholders whose country of residence does not have a tax treaty with Israel granting tax relief or exempting such shareholders from Israeli tax.</w:t>
      </w:r>
    </w:p>
    <w:p>
      <w:pPr>
        <w:spacing w:after="0" w:line="1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articles of association provide that unless we consent to an alternate forum, the federal district courts of the United States shall be the exclusive forum for the resolution of any claims arising under the Securities Act of 1933, as amended (the “Securities Act”), which may limit the ability of our shareholders to initiate litigation against us or increase the cost thereof.</w:t>
      </w:r>
    </w:p>
    <w:p>
      <w:pPr>
        <w:spacing w:after="0" w:line="194"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unless we consent in writing to the selection of an alternative forum, the federal district courts of the United States shall be the exclusive forum for the resolution of any complaint asserting a cause of action arising under the Securities Act. Section 22 of the Securities Act creates concurrent jurisdiction for federal and state courts over all such Securities Act actions, and accordingly, both state and federal courts have jurisdiction to entertain such claims. While the federal forum provision in our amended and restated articles of association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choice of forum provision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 We note that investors cannot waive compliance with the federal securities laws and the rules and regulations thereunder may have the effect of discouraging lawsuits against our directors and officers.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us, our officers and directors in Israel or the United States, or to assert U.S. securities laws claims in Israel or serve process on our officers and directors.</w:t>
      </w:r>
    </w:p>
    <w:p>
      <w:pPr>
        <w:spacing w:after="0" w:line="18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94"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 and may increase the risk associated with your investment.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has evolved over time, including through several successful acquisitions such as our acquisitions of RhythmOne plc (“RhythmOne”) in 2019, Unruly Holdings Limited and Unruly Media, Inc. (collectively, “Unruly”) in 2020, SpearAd in 2021 and Amobee in 2022, such that our operating history makes it difficult to evaluate our current business and future prospects. As a result of such acquisitions, our financial results across different periods may not be directly comparable. We expect to face challenges, risks and difficulties frequently experienced by growing companies in rapidly developing industries, including those relating to:</w:t>
      </w:r>
    </w:p>
    <w:p>
      <w:pPr>
        <w:spacing w:after="0" w:line="20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qualified and motivated employees, particularly engineers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expanding relationships with publishers, agencies and advertisers;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developing new solutions that are adopted by and meet the needs of publishers, agencies and advertisers;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against companies with a larger customer base or greater financial or technical resources;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disruption and technological changes;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expanding our global footprint;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expenses as we invest in our infrastructure and platform technology to scale our business and operate as a U.S. listed public company;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evolving industry standards and government regulations that impact our business, particularly in the areas of data protection and consumer privacy.</w:t>
      </w:r>
    </w:p>
    <w:p>
      <w:pPr>
        <w:spacing w:after="0" w:line="175" w:lineRule="exact"/>
        <w:rPr>
          <w:sz w:val="20"/>
          <w:szCs w:val="20"/>
          <w:color w:val="auto"/>
        </w:rPr>
      </w:pPr>
    </w:p>
    <w:p>
      <w:pPr>
        <w:ind w:right="20" w:firstLine="324"/>
        <w:spacing w:after="0" w:line="297" w:lineRule="auto"/>
        <w:rPr>
          <w:sz w:val="20"/>
          <w:szCs w:val="20"/>
          <w:color w:val="auto"/>
        </w:rPr>
      </w:pPr>
      <w:r>
        <w:rPr>
          <w:rFonts w:ascii="Times New Roman" w:cs="Times New Roman" w:eastAsia="Times New Roman" w:hAnsi="Times New Roman"/>
          <w:sz w:val="18"/>
          <w:szCs w:val="18"/>
          <w:color w:val="auto"/>
        </w:rPr>
        <w:t>If we are not successful in addressing these and other issues, our business may suffer, our revenue may decline and we may not be able to achieve further growth or sustain profitability.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and investment between initial contact with a prospect and execution of an agreement with an advertiser or publisher, making it difficult to project when, if at all, we will obtain new advertisers or publishers, and when we will generate revenue from them.</w:t>
      </w:r>
    </w:p>
    <w:p>
      <w:pPr>
        <w:spacing w:after="0" w:line="181"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advertiser or publisher, if at all. We have no assurance that the substantial time and money spent on our sales efforts will generate significant revenue. If conditions in the marketplace, generally or with a specific prospective advertiser or publisher, change negatively, it is possible that we will be unable to recover any of these expenses. Our sales efforts involve educating advertisers and publishers about the use, technical capabilities and benefits of our platform. Some advertisers and publishers undertake an evaluation process that frequently involves not only our platform but also the offerings of our competitors. As a result, it is difficult to predict when we will obtain new advertisers or publishers and begin generating revenue from them. Even if our sales efforts result in obtaining a new advertiser or publisher, the advertiser or publisher controls when and to what extent it uses our platform and therefore the amount of revenue we generate, and it may not sufficiently justify the expenses incurred to acquire the advertiser or publisher and the related training support. As a result, we may not be able to add advertisers or publishers to our customer base, or generate revenue, as quickly as we may expect, which could harm our growth prospects.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advertisers do not pay or dispute their invoices, our business, financial condition and operating results may be adversely affected.</w:t>
      </w:r>
    </w:p>
    <w:p>
      <w:pPr>
        <w:spacing w:after="0" w:line="1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advertiser does not pay the agency, the agency is not liable to us, and we must seek payment solely from the advertiser, a type of arrangement called sequential liability. Contracting with these agencies, which in some cases have or may develop higher-risk credit profiles, may subject us to greater credit risk than if we were to contract directly with advertisers. This credit risk may vary depending on the nature of an advertising agency’s aggregated advertiser base. We may also be involved in disputes with agencies and their marketers over the operation of our platform, the terms of our agreements or our billings for purchases made by them through our platform. When we are unable to collect or make adjustments to our bills to advertisers,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19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advertisers or publishers pay us on time, or at all. While we attempt to negotiate long payment periods with our suppliers and shorter periods with our advertisers and publishers, we are not always successful. As a result, our accounts payable are often due on shorter cycles than our accounts receivables, requiring us to remit payments from our own funds, and accept the risk of bad debt.</w:t>
      </w:r>
    </w:p>
    <w:p>
      <w:pPr>
        <w:spacing w:after="0" w:line="199"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This payment process will increasingly consume working capital if we continue to be successful in growing our business. In addition, like many companies in our industry, we often experience slow payment by advertising agencies. In this regard, we had average days sales outstanding (“DSO”) of 80 days and average days payable outstanding (“DPO”) of 77 days for the year ended December 31, 2025. We compute our average DSO as of a given month end based on a weighted average of outstanding accounts receivable. Specifically, the DSO is calculated by dividing the average accounts receivable during a given period by the total value of billing revenue during the same period, and then multiplying the result by the number of days in the period being measured. We compute our DPO as of a given month end by dividing our trade payables (including accrued liabilities) by the average daily cost of media, data, other direct costs and certain operating expenses. Historically, our DSOs have fluctuated. If our DSOs increase significantly, and we are unable to borrow against these receivables on commercially acceptable terms, our working capital availability could be reduced, and as a consequence our results of operations and financial condition would be adversely impacted. We cannot assure you that as we continue to grow, our business will generate sufficient cash flow from operations to fund our working capital needs. If our cash flows are insufficient to fund our working capital requirements, we may not be able to grow at the rate we currently expect or at all.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acquisitions or strategic investments could be difficult to integrate, divert the attention of management, and could disrupt our business, dilute shareholder value and adversely affect our business, results of operations and financial condition.</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have pursued strategic acquisitions, such as our acquisitions of RhythmOne in 2019, Unruly in 2020, SpearAd in 2021 and Amobee in 2022, and our investments in Hisense’s V (formerly known as “VIDAA”) platform in 2022 and 2025, and we may acquire or invest in other businesses, assets or technologies that are complementary to our business and align with our strategic goals. Any acquisition or investment may divert the attention of management and require us to use significant amounts of cash, issue dilutive equity securities or incur debt.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90"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business;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key business relationships and reputation of the acquired business;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other business concerns;</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the acquisition or the activities of the acquired business, including claims from excluded assets, terminated employees, customers, former shareholders or other third parties;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rights, or increase our risk of liability;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the integration of acquired businesses or diminished prospects;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the expected financial results and synergies related to an acquisition on a timely manner or at all;</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returns on investments (such as our investment in V)</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forecast the impact of an acquisition transaction;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effective controls, procedures and policies for acquired businesses.</w:t>
      </w:r>
    </w:p>
    <w:p>
      <w:pPr>
        <w:spacing w:after="0" w:line="23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To fund future acquisitions, we may obtain additional debt financing, pay cash or issue additional Shares, which could dilute our shareholders’ value or diminish our cash reserves. Borrowing to fund the Amobee acquisition resulted in increased fixed obligations and subjected us to covenants or other restrictions that can potentially limit the ability to run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borrowings under our revolving credit facility could adversely affect our financial condition, liquidity, and ability to meet our obligations.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2022, Nexxen Group US Holdings Inc. entered into a $90 million senior secured term loan facility (the “Term Loan Facility”) and a $90 million senior secured revolving credit facility (the “Revolving Credit Facility”). We used the net proceeds of the Term Loan Facility and $10 million of net proceeds of the Revolving Credit Facility to fund a portion of the purchase price of the Amobee acquisition in 2022. The loan period was 3 years from the date it was obtained. On April 9, 2024, the Company repaid its outstanding Term Loan Facility in full, together with its then outstanding Revolving Credit Facility borrowings, in the total amount of $100 million. No early termination penalties were incurred. On May 29, 2025, the Company entered into a second amendment to the credit agreement (the “Second Amendment”), pursuant to which, among other things, the total committed Revolving Credit Facility was reduced from $90 million to $50 million and the maturity date of the Revolving Credit Facility was extended to September 2027. As of December 31, 2025, no amounts were outstanding under the Revolving Credit Facility.</w:t>
      </w:r>
    </w:p>
    <w:p>
      <w:pPr>
        <w:spacing w:after="0" w:line="19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We must pay a commitment fee on the undrawn amounts and we may draw upon from time to time to finance our operations, capital expenditures, or other corporate purposes. Our use of this Revolving Credit Facility presents several risks that could adversely impact our financial condition, liquidity, and ability to meet our obligations. First, increased borrowings under our Revolving Credit Facility could result in higher leverage, increasing our debt service obligations and reducing financial flexibility. As we draw down funds, our interest expense will rise, potentially reducing our profitability and ability to invest in growth initiatives. If interest rates increase, our cost of borrowing could rise significantly, particularly if our facility has variable interest rate provisions. Second, utilizing our Revolving Credit Facility may impact our liquidity and financial stability. If we fully utilize available credit and are unable to generate sufficient cash flow from operations, we may face liquidity constraints that could impair our ability to meet short-term obligations, repay debt, or fund necessary expenditures. Additionally, if we require further financing beyond our Revolving Credit Facility, there is no guarantee that additional funding will be available on favorable terms or at all. Third, our ability to borrow under the Revolving Credit Facility is subject to covenant compliance and lender discretion. Our credit agreement may impose financial covenants, including leverage ratios, interest coverage ratios, or other restrictions on our operations. If we fail to meet these covenants, we may be required to seek amendments or waivers from our lenders, which may not be granted. In the event of non-compliance, our lenders could accelerate repayment obligations, restrict further borrowing, or impose additional conditions, any of which could materially impact our financial position. Lastly, adverse market or economic conditions, changes in lender risk assessments, or broader disruptions in the credit markets could reduce our access to the Revolving Credit Facility. If our lenders become unwilling or unable to provide funding, we may not be able to draw down necessary funds when needed, which could negatively affect our operations and strategic initiatives.</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If any of these risks materialize, our financial condition, cash flows, and ability to meet our obligations could be materially and adversely affected.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64"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Relating to Legal or Regulatory Constraints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and publisher restrictions on political advertising, which could increase costs or reduce revenue.</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are subject to laws and regulations governing political advertising, including federal and state laws in the United States and national and provincial laws worldwide. These laws and regulations are evolving rapidly, and many platforms, including our publishers, may impose restrictions on receiving political advertising.</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lack of uniformity and increasing compliance requirements for political advertising, such as disclosure obligations, transparency standards, targeting restrictions, and reporting requirements, may increase our operating and compliance costs and expose us to potential regulatory liability. Changes in law or regulations, or publisher-imposed restrictions could also reduce the amount of political advertising placed through our platform, which could materially and adversely affect our business, results of operation,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privacy, data protection, and consumer protection laws and technical restrictions could increase costs, limit data, and harm our business.</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collect, store, process, and share data about consumers to operate our platform and deliver advertising services. Our data activities are subject to federal, state and foreign laws, regulations, industry standards, and contractual obligations. These rules are constantly evolving, and their interpretation, enforcement, and application remain uncertain.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Data Privacy and Consumer Protection Laws</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In the United States, we are subject to laws and regulations such as the Federal Trade Commission Act, which prohibits “unfair” or “deceptive” practices, as well as federal and state privacy and consumer protection laws. California has enacted the California Consumer Privacy Act (“CCPA”) as amended by the California Privacy Rights Act (“CPRA”), which provide consumers with expanded rights to access, delete, and opt out of the sale or share of personal information and impose additional requirements on cross-context behavioral advertising. Similar privacy laws have been enacted in twenty states, including Colorado, Connecticut, Virginia, and Texas.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Failure to comply with U.S. laws and regulations, or changes in their interpretation, could increase compliance costs, limit access to data critical for advertising, reduce revenue, or expose us to regulatory enforcement, litigation, fines, or other penalties.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Invasion of Privacy Act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consent and opt-out obligations under privacy and data protection laws, we face potential liability under the California Invasion of Privacy Act (“CIPA”). Plaintiffs have asserted that the use of third-party analytics, tracking technologies, cookies, and similar tools constitute “eavesdropping” or “wiretapping” under CIPA, even where such technologies are deployed to analyze consumer behavior or support advertising and marketing services. Because our platform processes data across publishers, advertisers, and consumer interactions using online tracking technologies to deliver targeted advertising, we may face CIPA claims. If CIPA claims are successfully asserted against us, we could incur material litigation costs, settlements or judgments, injunctive relief, reputational harm, and adverse impacts on our business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UK, and Other International Laws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the European Economic Area (“EEA”) and the United Kingdom, we are subject to the General Data Protection Regulation (“GDPR”), UK GDPR, the ePrivacy Directive (as implemented in national laws, including the UK Privacy and Electronic Communications Regulations) and other local privacy and data protection laws. These laws impose strict requirements on the collection, processing, sharing, storage, and transfer of personal data, including obligations for transparency, data subject rights (e.g., access, deletion, and portability), breach notification, retention limits, and accountability.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6" w:name="page27"/>
    <w:bookmarkEnd w:id="26"/>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In addition, the ePrivacy regime specifically regulates among other things the use of cookies and similar tracking technologies. In particular, it requires consent (subject to exceptions) for storing or accessing information on a user’s device, such as through cookies, SDKs, pixels, and other tracking technologies, and imposes additional transparency and compliance obligations in relation to online tracking and behavioral advertising.</w:t>
      </w:r>
    </w:p>
    <w:p>
      <w:pPr>
        <w:spacing w:after="0" w:line="182"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Violations of GDPR or UK GDPR can result in substantial fines, civil claims, regulatory investigations, enforcement orders, or reputational harm. Other jurisdictions, including Israel, Australia, Canada, and countries in Asia, are also strengthening privacy and data protection laws, which may impose additional compliance obligations, limit cross-border data transfers, or require data localization.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and Industry Challenges</w:t>
      </w:r>
    </w:p>
    <w:p>
      <w:pPr>
        <w:spacing w:after="0" w:line="243" w:lineRule="exact"/>
        <w:rPr>
          <w:sz w:val="20"/>
          <w:szCs w:val="20"/>
          <w:color w:val="auto"/>
        </w:rPr>
      </w:pPr>
    </w:p>
    <w:p>
      <w:pPr>
        <w:jc w:val="both"/>
        <w:ind w:firstLine="321"/>
        <w:spacing w:after="0" w:line="281" w:lineRule="auto"/>
        <w:rPr>
          <w:sz w:val="20"/>
          <w:szCs w:val="20"/>
          <w:color w:val="auto"/>
        </w:rPr>
      </w:pPr>
      <w:r>
        <w:rPr>
          <w:rFonts w:ascii="Times New Roman" w:cs="Times New Roman" w:eastAsia="Times New Roman" w:hAnsi="Times New Roman"/>
          <w:sz w:val="18"/>
          <w:szCs w:val="18"/>
          <w:color w:val="auto"/>
        </w:rPr>
        <w:t>Technical changes by browsers, operating systems, mobile platforms, and CTV providers, such as restrictions on cookies, mobile device IDs, and tracking technologies, may reduce the data available to us and our advertisers. Changes in these technologies or standards could increase our costs to collect, process, or use data, or require development of less effective alternatives such as first-party or probabilistic data methods.</w:t>
      </w:r>
    </w:p>
    <w:p>
      <w:pPr>
        <w:spacing w:after="0" w:line="177"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Self-regulatory bodies, such as the Digital Advertising Alliance, IAB, and others, impose additional requirements on data collection, usage, and disclosure. Violations of their standards could result in fines, enforcement referrals to regulatory authorities, or reputational harm.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Dependencies</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rely on third parties, including service providers, publishers, and advertisers, to process and share data. Any failure by these parties to comply with legal or contractual obligations could expose us to liability or restrict our ability to use critical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Impacts</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Because our business depends on access to data for targeting, personalization, analytics, and advertising effectiveness, any change in applicable laws, regulations, regulatory guidance, interpretations, enforcement practices, industry standards, or technology could:</w:t>
      </w:r>
    </w:p>
    <w:p>
      <w:pPr>
        <w:spacing w:after="0" w:line="1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compliance and operational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data we can collect, use, or share, including through restrictions on tracking technologies or cross-border data transfers;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effectiveness of our platform;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fines, enforcement actions, litigation, or reputational harm.</w:t>
      </w:r>
    </w:p>
    <w:p>
      <w:pPr>
        <w:spacing w:after="0" w:line="23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the EEA, the GDPR is subject to ongoing evaluation, regulatory guidance, and potential legislative amendment, which may affect its interpretation and application. In the United Kingdom, legislation has been enacted amending aspects of the UK GDPR and related data protection laws, creating the potential for increasing divergence between the UK and EU regimes over time. While such reforms are not generally expected to impose materially more onerous obligations overall, they may alter compliance requirements, regulatory expectations, or enforcement approaches.</w:t>
      </w:r>
    </w:p>
    <w:p>
      <w:pPr>
        <w:spacing w:after="0" w:line="186"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Evolving interpretations of concepts such as personal data, consent, legitimate interests, profiling, automated decision-making, and anonymization may further affect how we design and operate our products and services. Divergence between jurisdictions may also increase operational complexity and reduce the ability to implement uniform global compliance strategies.</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As privacy and data protection laws continue to evolve worldwide, the full impact on our business remains uncertain. We may be required to expend significant resources to monitor regulatory developments, adapt our data practices, and implement organizational and technical changes within compressed timeframes. Failure to comply with applicable requirements or to adapt to these changes could materially and adversely affect our business, results of operations, and financial condition.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publishers, buyers, and data providers to obtain consumer consent, and failure to do so could result in fines, liability, or reputational harm.</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rely on publishers, buyers, and data providers, to obtain legally valid consent on our behalf to process personal data and deliver interest-based advertisements or provide required notices and opt-out mechanisms.</w:t>
      </w:r>
    </w:p>
    <w:p>
      <w:pPr>
        <w:spacing w:after="0" w:line="16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Because we generally do not have direct relationships with consumers, we rely on publishers, buyers, and data providers to obtain legally valid consent on our behalf to process personal data and deliver interest-based advertisements where consent is required (such as under the GDPR and UK GDPR). In jurisdictions that follow an opt-out framework, including under the CCPA and other U.S. state privacy laws, we rely on these partners to provide appropriate privacy notices, offer consumers legally required opt-out rights (including rights to opt out of the sale or sharing of personal information or targeted advertising), and to honor and communicate those opt-out signals to us in a timely manner. These partners are also responsible for implementing any notice, choice, or opt-in/opt-out mechanisms required under applicable privacy and data protection laws, including GDPR, UK GDPR, CCPA, and other U.S. state and international privacy laws, as well as evolving industry standards and browser or platform consent frameworks. If our partners fail to obtain valid consent, where required, or if legal requirements evolve in ways that make existing consents insufficient, we could be subject to fines, penalties, lawsuits, or other regulatory enforcement actions. Such failures could also damage our reputation, reduce the availability of data for our platform, and adversely affect our business, results of operations, and financial condition. In addition, our contractual agreements or insurance coverage may be inadequate to fully protect us against these claims and losses.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have a direct relationship with consumers who view advertisements placed through our platform, so we may not be able to disclaim liabilities from such consumers through terms of use on our platform.</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Advertisements on websites, applications and other digital media properties of publishers purchased through our platform are viewed by consumers visiting the publishers’ digital media properties. Those publishers often have terms of use in place with their consumers that disclaim or limit their potential liabilities to consumers, or pursuant to which consumers waive rights to bring class actions against the publishers. We generally do not have terms of use in place with such consumers, so we cannot disclaim or limit potential liabilities to them through terms of use, which may expose us to greater liabilities than certain of our competitors.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 and we are, and may be in the future, involved in commercial disputes with counterparties with whom we do business.</w:t>
      </w:r>
    </w:p>
    <w:p>
      <w:pPr>
        <w:spacing w:after="0" w:line="18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Advertising often results in litigation relating to misleading or deceptive claims, copyright or trademark infringement, public performance royalties or other claims based on the nature and content of advertising that is distributed through our platform. Though we aim to contractually require advertisers to represent to us that their advertisements comply with our ad standards and our publishers’ ad standards and that they have the rights necessary to serve advertisements through our platform, we do not independently verify whether we are permitted to deliver, or review the content of, such advertisements. Likewise, while we aim to contractually require publishers to represent to us that their content comply with our publisher standards and does not infringe on any third-party rights, we do not independently verify whether we are permitted to deliver, or review the content of such inventory. If any of these representations are untrue, we may be exposed to potential liability and our reputation may be damaged. While our advertisers and publishers are typically obligated to indemnify us, such indemnification may not fully cover us, or we may not be able to collect. In addition to settlement costs, we may be responsible for our own litigation costs, which can be expensive.</w:t>
      </w:r>
    </w:p>
    <w:p>
      <w:pPr>
        <w:spacing w:after="0" w:line="19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Operating in the advertising industry involves numerous commercial relationships, uncertain intellectual property rights, and other complexities that create heightened risks of disputes, claims, lawsuits, and investigations. For example, in 2021, we filed a lawsuit against Alphonso, Inc. (“</w:t>
      </w:r>
      <w:r>
        <w:rPr>
          <w:rFonts w:ascii="Times New Roman" w:cs="Times New Roman" w:eastAsia="Times New Roman" w:hAnsi="Times New Roman"/>
          <w:sz w:val="18"/>
          <w:szCs w:val="18"/>
          <w:b w:val="1"/>
          <w:bCs w:val="1"/>
          <w:color w:val="auto"/>
        </w:rPr>
        <w:t>Alphonso</w:t>
      </w:r>
      <w:r>
        <w:rPr>
          <w:rFonts w:ascii="Times New Roman" w:cs="Times New Roman" w:eastAsia="Times New Roman" w:hAnsi="Times New Roman"/>
          <w:sz w:val="18"/>
          <w:szCs w:val="18"/>
          <w:color w:val="auto"/>
        </w:rPr>
        <w:t>”) asserting breach of contract and related claims, which we settled and dismissed in 2024 following repayment by Alphonso of $11.3 million, including principal, interest, and legal fees. A trade secret misappropriation claim against us filed by Alphonso in 2022 was voluntarily dismissed with prejudice in 2023.</w:t>
      </w:r>
    </w:p>
    <w:p>
      <w:pPr>
        <w:spacing w:after="0" w:line="184"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color w:val="auto"/>
        </w:rPr>
        <w:t>See Item 8.A. “</w:t>
      </w:r>
      <w:r>
        <w:rPr>
          <w:rFonts w:ascii="Times New Roman" w:cs="Times New Roman" w:eastAsia="Times New Roman" w:hAnsi="Times New Roman"/>
          <w:sz w:val="18"/>
          <w:szCs w:val="18"/>
          <w:i w:val="1"/>
          <w:iCs w:val="1"/>
          <w:color w:val="auto"/>
        </w:rPr>
        <w:t>Consolidated Statements and Other Financial Information Legal Proceedings</w:t>
      </w:r>
      <w:r>
        <w:rPr>
          <w:rFonts w:ascii="Times New Roman" w:cs="Times New Roman" w:eastAsia="Times New Roman" w:hAnsi="Times New Roman"/>
          <w:sz w:val="18"/>
          <w:szCs w:val="18"/>
          <w:color w:val="auto"/>
        </w:rPr>
        <w:t>” for further information. Any commercial dispute, claim, counterclaim, lawsuit or investigation, including our commercial dispute with Alphonso, has and may divert our management’s attention away from our business, we have and may continue to incur significant expenses in addressing or defending any commercial dispute, claim, counterclaim or lawsuit or responding to any investigation, and we may be required to pay damage awards or settlements.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anti-bribery, anti-corruption and similar laws and non-compliance with such laws can subject us to criminal penalties or significant fines and harm our business and reputation.</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may be subject to certain economic and trade sanctions laws and regulations, export control and import laws and regulations, including those that are administered by the U.S. Department of Treasury’s Office of Foreign Assets Control, the U.S. Department of State, the U.S. Department of Commerce, the United Nations Security Council and other relevant governmental authorities.</w:t>
      </w:r>
    </w:p>
    <w:p>
      <w:pPr>
        <w:spacing w:after="0" w:line="182"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We are also subject to the FCPA, the U.K. Bribery Act,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spacing w:after="0" w:line="188"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8"/>
          <w:szCs w:val="18"/>
          <w:color w:val="auto"/>
        </w:rPr>
        <w:t>As we increase our global sales and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authorize such activities.</w:t>
      </w:r>
    </w:p>
    <w:p>
      <w:pPr>
        <w:spacing w:after="0" w:line="18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Our advertisers or publishers may have consumers in countries that are subject to U.S. economic sanctions laws and regulations administered by the Office of Foreign Assets Control (“OFAC”), the Israeli Trade with the Enemy Ordinance, 1939 and sanction laws of the EU and other applicable jurisdictions, which prohibit the sale of products to embargoed jurisdictions or sanctioned parties (“Sanctioned Countries”). We have taken steps to avoid serving advertisements to consumers located in Sanctioned Countries and are implementing various control mechanisms designed to prevent unauthorized dealings with Sanctioned Countries going forward. Although we have taken precautions to prevent our solutions from being provided, deployed or used in violation of sanctions laws, due to the remote nature of our solutions and the potential for manipulation using VPNs, we cannot assure you that our policies and procedures relating to sanctions compliance will prevent any violations in the future. If we are found to be in violation of any applicable sanctions regulations, it can result in significant fines or penalties and possible incarceration for responsible employees and managers, as well as reputational harm and loss of business.</w:t>
      </w:r>
    </w:p>
    <w:p>
      <w:pPr>
        <w:spacing w:after="0" w:line="205"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Despite our compliance efforts and activities, there can be no assurance that our employees or representatives will comply with the relevant laws and we may be held responsible. Noncompliance with anti-corruption,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or governmental or other sanctions are imposed, or if we do not prevail in any possible civil or criminal litigation, our business, financial condition and results of operations could be materially harmed. Responding to any action could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 acquire. As a general matter, enforcement actions and sanctions could harm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Shares</w:t>
      </w:r>
    </w:p>
    <w:p>
      <w:pPr>
        <w:spacing w:after="0" w:line="239" w:lineRule="exact"/>
        <w:rPr>
          <w:sz w:val="20"/>
          <w:szCs w:val="20"/>
          <w:color w:val="auto"/>
        </w:rPr>
      </w:pPr>
    </w:p>
    <w:p>
      <w:pPr>
        <w:ind w:right="3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ADS facility, and delisting from AIM in February 2025, may reduce the liquidity of our shares and increase risks associated with a single Nasdaq listing.</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2025, we voluntarily terminated our American Depositary Share (“ADS") facility on Nasdaq, delisted our Shares underlying depositary interests from trading on the AIM market of the London Stock Exchange, and our Shares began trading solely on the Nasdaq Global Market under the stock ticker “NEXN”. We made this decision to simplify our capital structure, streamline our regulatory compliance, reduce costs, and improve trading efficiency. However, we may not realize the anticipated benefits of the termination of the ADS facility and delisting from AIM. These actions may adversely affect the liquidity of our shares, limit our investor base, and increase share price volatility (See Note 1b to our audited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 w:name="page30"/>
    <w:bookmarkEnd w:id="2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termination and delisting, our securities traded on both AIM and Nasdaq, providing investors with multiple trading venues. The elimination of AIM trading may result in reduced trading volume on Nasdaq, either temporarily or on a sustained basis, particularly if former AIM investors are unable or unwilling to trade on a U.S. exchange. In addition, certain institutional or retail investors that previously held or acquired our shares on AIM may be restricted from holding or purchasing shares listed solely on Nasdaq due to internal investment policies, regulatory requirements, or other constraints. Any reduction in liquidity, trading volume, or investor participation, or any increase in volatility of our share price, could adversely affect the market price of our shares and our ability to raise capital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Shares may be volatile, and you may lose all or part of your investment.</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market price and trading volume of our Shares have fluctuated in the past and may continue to fluctuate significantly. Technology and advertising technology companies in particular have historically experienced substantial volatility in share price and trading volume. As a result of this volatility, you may not be able to sell your Shares at or above the price you paid and may lose all or part of your investment.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and trading volume of our Shares may be affected by a number of factors, many of which are beyond our control, including:</w:t>
      </w:r>
    </w:p>
    <w:p>
      <w:pPr>
        <w:spacing w:after="0" w:line="25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or revenue growth;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financial performance and the expectations of security analysts and investors;</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regarding significant business developments, acquisitions, strategic relationships, changes in service providers, or expansion plans;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public health events on our operations, employees, partners, advertisers, publishers, or financial performance;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proposed changes to, laws or regulations to our business, or differing interpretations or enforcement of existing laws or regulations;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models or commercial terms;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regulatory inquiries, or enforcement actions;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or resales of our sale of Shares or other securities;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modification, suspension or termination of any share repurchase program;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digital advertising and technology markets;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or other key personnel;</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or news coverage about us, our competitors or our industry, including changes in recommendations or withdrawal of analyst coverage;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estimates of the size, growth rate, or attractiveness of the markets in which we operate;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political, global trade, and market conditions.</w:t>
      </w:r>
    </w:p>
    <w:p>
      <w:pPr>
        <w:spacing w:after="0" w:line="22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Although our shares are listed on the Nasdaq Global Market, the trading volume of our shares has been relatively low. As a result, sales of a significant number of shares in the public market, or the perception that such sales could occur, could adversely affect the market price of our shares and increase volatility.</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Under our equity compensation programs, our executive officers and other insiders may sell Shares from time to time, including pursuant to trading plans established in accordance with Rule 10b5-1 under the Exchange Act, and certain of our executive officers currently maintain such plans. Sales of Shares by our executive officers may not reflect their views regarding our business or future prospects; however, such sales or the perception of such sales, could nonetheless negatively affect the market price of our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In addition, the broader markets have experienced, and may continue to experience, significant price and volume volatility unrelated to the operating performance of individual companies. These market-wide fluctuations may materially and adversely impact the market price of our Shares, regardless of our actual operating results.</w:t>
      </w:r>
    </w:p>
    <w:p>
      <w:pPr>
        <w:spacing w:after="0" w:line="182"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Historically, periods of volatility in the market price of a company’s securities have often resulted in securities litigation. If we were involved in such litigation, it could result in substantial costs, divert management’s attention and resources, and harm our business, financial condition and results of operations.</w:t>
      </w:r>
    </w:p>
    <w:p>
      <w:pPr>
        <w:spacing w:after="0" w:line="1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our covering security analysts, or if analyst coverage on our company is reduced or unfavorable, the market price and trading volume of our Shares could decline.</w:t>
      </w:r>
    </w:p>
    <w:p>
      <w:pPr>
        <w:spacing w:after="0" w:line="15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trading price and trading volume of our Shares depend in part on the research coverage and reports published by securities and equity research analysts who follow our company and our industry. The estimates and opinions of these analysts are based on their own assumptions, analyses, and expectations, which may differ from our own estimates or from actual results.</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operating results fail to meet the expectations of analysts or investors, the market price of our shares could decline. In addition, if one or more analysts downgrade our shares, issue unfavorable commentary, change their recommendations, or cease to provide research coverage on our company or on our industry altogether, the market price and trading volume of our shares could decline significantly. If our operating results, growth prospects or other developments fail to meet the expectations of analysts or investors, the market price of our Shares could decline. Given our relatively limited trading volume, any reduction in analyst coverage or negative analyst commentary could have a disproportionate effect on the liquidity, volatility and market price of our shares.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may rely on reduced disclosure requirements, which could make our Shares less attractive to investors.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 of the Securities Act, as modified by the Jumpstart Our Business Startups Act of 2012 (the “JOBS Act”). As long as we remain an emerging growth company, we are permitted to rely on certain exemptions from reporting and disclosure requirements that apply to other public companies that are not emerging growth companies. These exemptions include, among other things, presenting reduced selected financial data in our public filings and not being required to obtain an auditor attestation of our internal control over financial reporting under Section 404(b) of the Sarbanes-Oxley Act. As a result, investors and shareholders may not have access to certain information that they may consider important when evaluating an investment in our Shares.</w:t>
      </w:r>
    </w:p>
    <w:p>
      <w:pPr>
        <w:spacing w:after="0" w:line="20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We remain an emerging growth company for up to five years following our initial public offering, although we would lose that status earlier if one of the following events occurs: (i) our annual gross revenue equals or exceeds $1.235 billion, (ii) we issue more than $1.0 billion in non-convertible debt securities during any three-year period, or (iii) we become a “large accelerated filer” under U.S. securities laws. Based on current expectations, we expect to cease to qualify as an emerging growth company as of December 31, 2026, which is the last day of the fiscal year following the fifth anniversary of our initial public offering on June 17, 2026. We cannot predict whether investors will find our Shares less attractive because we may rely on these reduced disclosure and reporting requirements. If some investors view our Shares as less attractive for this reason, the market price and trading volume of our Shares may be adversely affected and the market price of our Shares may be more volatile. In addition, when we cease to be an emerging growth company, we will become subject to increased disclosure, reporting and compliance requirements, which are expected to result in higher legal, accounting, and administrative costs.</w:t>
      </w:r>
    </w:p>
    <w:p>
      <w:pPr>
        <w:spacing w:after="0" w:line="18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subject to different reporting and disclosure requirements than U.S. domestic public companies, which may provide less information to investors.</w:t>
      </w:r>
    </w:p>
    <w:p>
      <w:pPr>
        <w:spacing w:after="0" w:line="15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are a non-U.S. company and report under the Exchange Act as a foreign private issuer. As a result, we are subject to certain reporting and disclosure requirements that differ from those applicable to U.S. domestic public companies. Because we qualify as a foreign private issuer, we are exempt from several provisions of the Exchange Act that apply to U.S. domestic issuers, including:</w:t>
      </w:r>
    </w:p>
    <w:p>
      <w:pPr>
        <w:spacing w:after="0" w:line="177" w:lineRule="exact"/>
        <w:rPr>
          <w:sz w:val="20"/>
          <w:szCs w:val="20"/>
          <w:color w:val="auto"/>
        </w:rPr>
      </w:pPr>
    </w:p>
    <w:p>
      <w:pPr>
        <w:jc w:val="center"/>
        <w:ind w:left="5540" w:right="940" w:hanging="5208"/>
        <w:spacing w:after="0" w:line="485"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governing the solicitation of proxies, consents or authorizations with respect to securities registered under the Exchange Act,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short-swing profit liability provisions of Section 16(b) of the Exchange Act, and</w:t>
      </w:r>
    </w:p>
    <w:p>
      <w:pPr>
        <w:spacing w:after="0" w:line="27"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file quarterly reports on Form 10-Q containing unaudited financial and other specified information, although we are subject to Israeli laws and regulations with respect to certain of these matters and intend to furnish comparable quarterly information on Form 6-K, the information we provide may be less detailed or less frequent than the information provided by U.S. domestic public companies.</w:t>
      </w:r>
    </w:p>
    <w:p>
      <w:pPr>
        <w:spacing w:after="0" w:line="186"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8"/>
          <w:szCs w:val="18"/>
          <w:color w:val="auto"/>
        </w:rPr>
        <w:t>In addition, foreign private issuers are permitted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these exemptions and differences in reporting requirement, you may not have the same protections or access to information that shareholders of U.S. domestic public companies receive, which could make our shares less attractive to investors.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43" w:lineRule="exact"/>
        <w:rPr>
          <w:sz w:val="20"/>
          <w:szCs w:val="20"/>
          <w:color w:val="auto"/>
        </w:rPr>
      </w:pPr>
    </w:p>
    <w:p>
      <w:pPr>
        <w:ind w:right="20" w:firstLine="321"/>
        <w:spacing w:after="0" w:line="26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(1) more than 50% of our outstanding voting securities are owned by U.S. residents and (2) a majority of our directors or executive officers are U.S. citizens or residents, more than fifty percent (50%) of our assets are located in the United States, or our business is administered principally in the United States. The termination of our ADS facility and delisting from the AIM may increase the interest in our shares in the U.S. thereby impacting our foreign private issuer status in the future.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In addition, if we cease to qualify as a foreign private issuer, we would lose our ability to rely on exemptions from certain Nasdaq corporate governance requirements that are available to foreign private issuers. As a result, we would be required to modify our corporate governance practices to comply fully with the Nasdaq requirements applicable to U.S. domestic issuers. Compliance with these additional reporting, disclosure and corporate governance requirements would result in increased legal, accounting, compliance and administrative costs and could divert management’s time and attention from operating our business, which could adversely affect our business, results of operations and financial condition.</w:t>
      </w:r>
    </w:p>
    <w:p>
      <w:pPr>
        <w:spacing w:after="0" w:line="20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As a foreign private issuer, we are also permitted to follow certain home country corporate governance practices, instead of Nasdaq corporate governance requirements, provided that we disclose the differences and the home country practices we follow. We may elect to follow additional home country practices in the future. As a result, our shareholders may not have the same protections afforded to shareholders of companies that are subject to all Nasdaq corporate governance requirements.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Shares could be negatively affected by future issuances and sales of our Shares.</w:t>
      </w:r>
    </w:p>
    <w:p>
      <w:pPr>
        <w:spacing w:after="0" w:line="256" w:lineRule="exact"/>
        <w:rPr>
          <w:sz w:val="20"/>
          <w:szCs w:val="20"/>
          <w:color w:val="auto"/>
        </w:rPr>
      </w:pPr>
    </w:p>
    <w:p>
      <w:pPr>
        <w:ind w:right="120" w:firstLine="321"/>
        <w:spacing w:after="0" w:line="274" w:lineRule="auto"/>
        <w:rPr>
          <w:sz w:val="20"/>
          <w:szCs w:val="20"/>
          <w:color w:val="auto"/>
        </w:rPr>
      </w:pPr>
      <w:r>
        <w:rPr>
          <w:rFonts w:ascii="Times New Roman" w:cs="Times New Roman" w:eastAsia="Times New Roman" w:hAnsi="Times New Roman"/>
          <w:sz w:val="18"/>
          <w:szCs w:val="18"/>
          <w:color w:val="auto"/>
        </w:rPr>
        <w:t>As of February 28, 2026, 55,720,779 Shares were outstanding. Sales by us or our shareholders of a substantial number of Shares in the public market, or the perception that these sales might occur, could cause the market price of our Shares to decline or could impair our ability to raise capital through a future sale of, or pay for acquisitions using, our equity securities.</w:t>
      </w:r>
    </w:p>
    <w:p>
      <w:pPr>
        <w:spacing w:after="0" w:line="17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repurchase any of our Shares pursuant to our announced repurchase plan or that our repurchase plan will enhance long-term shareholder value.</w:t>
      </w:r>
    </w:p>
    <w:p>
      <w:pPr>
        <w:spacing w:after="0" w:line="158" w:lineRule="exact"/>
        <w:rPr>
          <w:sz w:val="20"/>
          <w:szCs w:val="20"/>
          <w:color w:val="auto"/>
        </w:rPr>
      </w:pPr>
    </w:p>
    <w:p>
      <w:pPr>
        <w:ind w:right="20" w:firstLine="321"/>
        <w:spacing w:after="0" w:line="281" w:lineRule="auto"/>
        <w:rPr>
          <w:sz w:val="20"/>
          <w:szCs w:val="20"/>
          <w:color w:val="auto"/>
        </w:rPr>
      </w:pPr>
      <w:r>
        <w:rPr>
          <w:rFonts w:ascii="Times New Roman" w:cs="Times New Roman" w:eastAsia="Times New Roman" w:hAnsi="Times New Roman"/>
          <w:sz w:val="18"/>
          <w:szCs w:val="18"/>
          <w:color w:val="auto"/>
        </w:rPr>
        <w:t>We have effected several share repurchase programs over the years and since March 1, 2022, we and our subsidiaries repurchased 29,794,967 Shares, or approximately 38.45% of shares outstanding, at a cumulative cost basis of $8.65 per share, reflecting a total investment of approximately $258.2 million, including fees. As of December 31, 2025, we had $7,514,986 million remaining on the current outstanding share repurchase program authorization.</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Repurchases of our Shares pursuant to our repurchase plan could affect the market price of our Shares, increase volatility, or constrain liquidity. Additionally, our repurchase plan could diminish our cash reserves, which may impact our ability to finance future growth and to pursue possible future strategic opportunities and acquisitions. There is no assurance that our repurchase plan will enhance long-term shareholder value, and short-term share price fluctuations could reduce the repurchase plan’s effectiveness.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enjoy local tax benefits that may be discontinued or reduced, if underlying conditions are not met.</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derive and expect to continue to derive Israeli tax benefits relating to our “Preferred Technology Enterprise” programs. To be eligible for tax benefits as a Preferred Technology Enterprise, we must continue to meet certain conditions. While we believe that we have met and continue to meet the conditions that entitled us to previously obtained Israeli tax benefits, there can be no assurance that we will in the future or that the Israeli Tax Authorities will agree.</w:t>
      </w:r>
    </w:p>
    <w:p>
      <w:pPr>
        <w:spacing w:after="0" w:line="186"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If we fail to meet the criteria for future Israeli Preferred Technology Enterprises, our business, financial condition and results of operations could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 liabilities resulting from our global operations could materially adversely affect our results of operations and financial condition.</w:t>
      </w:r>
    </w:p>
    <w:p>
      <w:pPr>
        <w:spacing w:after="0" w:line="25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As a global corporation, we are subject to income, non-income and transactional tax regimes in the United States, Israel and various other jurisdictions, which are unsettled and may be subject to significant change. Our effective tax rate could be materially affected by changes in tax rulings, tax laws, regulations, administrative practices, principles, applicability of special tax regimes, or changes in interpretations of existing tax laws, including changes to the global tax framework, in the jurisdictions in which we do business. Such changes could come about as a result of economic, political, and other conditions. Additionally, our effective tax rate could be affected by changes in the mix of earnings in countries with differing statutory tax rates, changes in the valuations of our deferred tax assets and liabilities, tax implications of acquisitions, expansion into new territories, intercompany transactions, changes in foreign currency exchange rates, changes in our share price and uncertain tax positions. Although we believe that our provision for income taxes and our tax estimates are reasonable, tax authorities may disagree with certain positions we have taken. From time to time, we are subject to income and other tax audits in various jurisdictions, the timing of which is unpredictable. While we believe we comply with applicable tax laws and have adequate balance sheet reserves related to tax positions, there can be no assurance that a governing tax authority will not have a different interpretation of the law and assess us with additional taxes, which we may dispute and litigate. If we are assessed additional taxes exceeding our tax accruals or if additional taxes are imposed on us, such additional taxes could have a material adverse effect on our results of operations and financial condition.</w:t>
      </w:r>
    </w:p>
    <w:p>
      <w:pPr>
        <w:spacing w:after="0" w:line="194"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proposed changes to numerous long-standing tax principles, namely, its Pillar Two framework, which imposes a global minimum corporate tax rate of 15% (measured on a country-by-country basis) on multinational groups with consolidated revenue over €750 million. Israel, as well as other jurisdictions we operate in have agreed to enact legislation to implement the global minimum tax rate. We currently are not at the threshold for being subject to the Pillar Two, but should we meet the threshold, it might increase tax complexity and uncertainty and may adversely affect our provision for income taxes, the effect which is difficult to assess at present time.</w:t>
      </w:r>
    </w:p>
    <w:p>
      <w:pPr>
        <w:spacing w:after="0" w:line="1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listed in the U.S., and our management is required to devote substantial time to new compliance initiatives and corporate governance practices.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listed in the U.S., and particularly after we are no longer an emerging growth company, we will incur significant legal, accounting and other expenses. The Sarbanes-Oxley Act, the Dodd-Frank Wall Street Reform and the Consumer Protection Act, the listing requirements of Nasdaq and their applicable securities rules and regulations impose various requirements on non-U.S. reporting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make it more difficult for us to attract and retain qualified members of our board of directors.</w:t>
      </w:r>
    </w:p>
    <w:p>
      <w:pPr>
        <w:spacing w:after="0" w:line="19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In addition, the applicable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3" w:name="page34"/>
    <w:bookmarkEnd w:id="3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may not pay any cash dividends on our Shares in the future, capital appreciation, if any, may be holders of Shares sole source of gains and they may never receive a return on their investment.</w:t>
      </w:r>
    </w:p>
    <w:p>
      <w:pPr>
        <w:spacing w:after="0" w:line="18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In addition, the Companies Law, imposes restrictions on our ability to declare and pay dividends.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 for additional information. As a result, capital appreciation, if any, on our Shares may be your sole source of gains, and you will suffer a loss on your investment if you are unable to sell your Shares at or above the price at which you purchased the Shares. See Item 8.A. “</w:t>
      </w:r>
      <w:r>
        <w:rPr>
          <w:rFonts w:ascii="Times New Roman" w:cs="Times New Roman" w:eastAsia="Times New Roman" w:hAnsi="Times New Roman"/>
          <w:sz w:val="18"/>
          <w:szCs w:val="18"/>
          <w:i w:val="1"/>
          <w:iCs w:val="1"/>
          <w:color w:val="auto"/>
        </w:rPr>
        <w:t>Consolidated Statements and Other Financial Information—Policy on Dividend Distributions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foreign currency exchange rate fluctuations could negatively impact our 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majority of the transactions through our platform are denominated in U.S. dollars, we have transacted in foreign currencies, both for inventory and for payments by advertisers or publishers from use of our platform. We also have expenses denominated in currencies other than the U.S. dollar. Given our anticipated international growth, we expect the number of transactions in a variety of foreign currencies to continue to grow in the future. Although we currently have a program to hedge exposure to foreign currency fluctuations, the use of hedging instruments may not be available for all currencies or may not always offset losses resulting from foreign currency exchange rate fluctuations. Moreover, the use of hedging instruments can itself result in losses if we are unable to structure effective hedges with such instruments.</w:t>
      </w:r>
    </w:p>
    <w:p>
      <w:pPr>
        <w:spacing w:after="0" w:line="1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 small number of significant shareholders have substantial influence over matters requiring shareholder approval, which could limit your ability to influence corporate matters and delay or prevent a change of control.</w:t>
      </w:r>
    </w:p>
    <w:p>
      <w:pPr>
        <w:spacing w:after="0" w:line="15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 small number of shareholders beneficially own a significant percentage of our outstanding shares and are therefore able to exercise substantial influence over matters requiring shareholder approval.</w:t>
      </w:r>
    </w:p>
    <w:p>
      <w:pPr>
        <w:spacing w:after="0" w:line="163" w:lineRule="exact"/>
        <w:rPr>
          <w:sz w:val="20"/>
          <w:szCs w:val="20"/>
          <w:color w:val="auto"/>
        </w:rPr>
      </w:pPr>
    </w:p>
    <w:p>
      <w:pPr>
        <w:ind w:firstLine="321"/>
        <w:spacing w:after="0" w:line="270" w:lineRule="auto"/>
        <w:rPr>
          <w:sz w:val="20"/>
          <w:szCs w:val="20"/>
          <w:color w:val="auto"/>
        </w:rPr>
      </w:pPr>
      <w:r>
        <w:rPr>
          <w:rFonts w:ascii="Times New Roman" w:cs="Times New Roman" w:eastAsia="Times New Roman" w:hAnsi="Times New Roman"/>
          <w:sz w:val="18"/>
          <w:szCs w:val="18"/>
          <w:color w:val="auto"/>
        </w:rPr>
        <w:t>As of February 28, 2026, the four largest beneficial owners of our Shares, entities and individuals affiliated with Mithaq Capital SPC, JB Capital Partners L.P., News Corporation and Toscafund Asset Management LLP, each beneficially owned more than 5% of our outstanding Shares and in the aggregate, approximately 52.3% of our Shares. As a result, these shareholders, acting individually or together, may be able to exert significant influence over our business, operations, and strategic direction and to influence the outcome of matters submitted to shareholders for approval. These matters include, among others:</w:t>
      </w:r>
    </w:p>
    <w:p>
      <w:pPr>
        <w:spacing w:after="0" w:line="18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and composition of our board of directors, which has authority to direct our business and appoint and remove executive officers;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or rejection of mergers, consolidations, or other business combinations;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future capital raising transactions;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 of association, which govern the rights attached to our Shares.</w:t>
      </w:r>
    </w:p>
    <w:p>
      <w:pPr>
        <w:spacing w:after="0" w:line="2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concentration of ownership of our Shares may discourage, delay or prevent a change in control of our company, including through a proxy contest, merger, tender offer, open-market purchase of our Shares, that might otherwise provide shareholders with the opportunity to receive a premium over the then-prevailing market price of our Shares. In addition, this concentration of ownership could adversely affect the market price of our shares, limit the ability of other shareholders to influence corporate matters, or constrain trading liquidity necessary to effectively enter or exit share positions in a timely manner.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Marimedia Ltd. in 2007 in Israel under the Companies Law. We changed our name to Taptica International Ltd. in September 2015, then to Tremor International Ltd. in June 2019, and to Nexxen International Ltd., in January 2024. Our principal executive offices are located at 82 Yigal Alon Street, Tel Aviv, 6789124, Israel. Our website address is www.nexxen.com, and our telephone number is +972-3-545-3900. Information contained on, or that can be accessed through, our website does not constitute a part of this Annual Report and is not incorporated by reference herein. We have included our website address in this Annual Report solely for informational purposes.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 w:name="page35"/>
    <w:bookmarkEnd w:id="3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date of the registration statement (Commission File No. 333-256452) for our initial public offering of our ADSs on the Nasdaq Global Market was June 17, 2021. The offering commenced on June 17, 2021 and was closed on July 15, 2021.</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14, 2025, we executed the Reverse Split and voluntarily terminated our ADS facility in connection with the Trading Structure Changes.</w:t>
      </w:r>
    </w:p>
    <w:p>
      <w:pPr>
        <w:spacing w:after="0" w:line="23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SEC filings are available to you on the SEC’s website at www.sec.gov, which contains reports, proxy and information statements, and other information regarding issuers that file electronically with the SEC. The information on that website is not part of this Annual Report and is not incorporated by reference herein.</w:t>
      </w:r>
    </w:p>
    <w:p>
      <w:pPr>
        <w:spacing w:after="0" w:line="19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Nexxen Inc., which currently maintains an office at 661 El Camino Real, San Carlos Suite 200, California, 94070, United States of America, is our agent to receive service of process or other legal summons for purposes of any such suit, action or proceeding that may be instituted in any state or federal court in the Borough of Manhattan in the City of New York.</w:t>
      </w:r>
    </w:p>
    <w:p>
      <w:pPr>
        <w:spacing w:after="0" w:line="180" w:lineRule="exact"/>
        <w:rPr>
          <w:sz w:val="20"/>
          <w:szCs w:val="20"/>
          <w:color w:val="auto"/>
        </w:rPr>
      </w:pPr>
    </w:p>
    <w:p>
      <w:pPr>
        <w:jc w:val="both"/>
        <w:ind w:firstLine="324"/>
        <w:spacing w:after="0" w:line="300" w:lineRule="auto"/>
        <w:rPr>
          <w:sz w:val="20"/>
          <w:szCs w:val="20"/>
          <w:color w:val="auto"/>
        </w:rPr>
      </w:pPr>
      <w:r>
        <w:rPr>
          <w:rFonts w:ascii="Times New Roman" w:cs="Times New Roman" w:eastAsia="Times New Roman" w:hAnsi="Times New Roman"/>
          <w:sz w:val="18"/>
          <w:szCs w:val="18"/>
          <w:color w:val="auto"/>
        </w:rPr>
        <w:t>For information on our capital expenditures,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31" w:lineRule="exact"/>
        <w:rPr>
          <w:sz w:val="20"/>
          <w:szCs w:val="20"/>
          <w:color w:val="auto"/>
        </w:rPr>
      </w:pPr>
    </w:p>
    <w:p>
      <w:pPr>
        <w:ind w:right="640" w:firstLine="324"/>
        <w:spacing w:after="0" w:line="292" w:lineRule="auto"/>
        <w:rPr>
          <w:sz w:val="20"/>
          <w:szCs w:val="20"/>
          <w:color w:val="auto"/>
        </w:rPr>
      </w:pPr>
      <w:r>
        <w:rPr>
          <w:rFonts w:ascii="Times New Roman" w:cs="Times New Roman" w:eastAsia="Times New Roman" w:hAnsi="Times New Roman"/>
          <w:sz w:val="18"/>
          <w:szCs w:val="18"/>
          <w:color w:val="auto"/>
        </w:rPr>
        <w:t>Our mission is to empower full-funnel performance for advertisers, agencies, publishers, broadcasters, and others across the digital advertising ecosystem through robust, and in some cases exclusive, data and media.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Nexxen is a global flexible advertising technology platform with deep expertise in data and advanced TV that provides advertisers, agencies, digital publishers, broadcasters, and others with technology and data solutions to plan, buy, manage, sell, and measure advertising across the digital advertising supply chain. Our unified end-to-end platform, powered by data and artificial intelligence (“AI”), supports advertising workflows spanning planning, activation, optimization, monetization, and measurement across formats and devices, and is designed to drive full-funnel performance and efficiency for customers on both sides of the digital advertising ecosystem. While supporting digital advertising efforts across formats and devices, Nexxen maintains a particular focus on some of the industry’s fastest-growing segments, including Connected TV (“CTV”), Video, and data-driven solutions, supported by a global team of seasoned technologists and industry experts.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market opportunity within the approximately $792 billion global digital advertising market, which is expected to grow at a CAGR of approximately 10% through 2029, according to eMarketer. Publishers rely on advertising to support their businesses and brands, and advertisers use digital channels to reach targeted and measurable audiences to maximize effectiveness and returns. We believe the digital advertising market remains fragmented, and that our comprehensive end-to-end platform and data capabilities, along with our expertise in Video and CTV, position Nexxen competitively to increase market share over time.</w:t>
      </w:r>
    </w:p>
    <w:p>
      <w:pPr>
        <w:spacing w:after="0" w:line="20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believe we are well positioned to benefit from several trends in the evolving advertising ecosystem, including: the continued proliferation of digital media consumption; growing adoption of programmatic advertising; increasing advertiser focus on premium formats such as Video and CTV; the shift of linear advertising budgets toward, and their convergence with, digital advertising budgets; the continued migration of live sports to digital environments, including CTV; increased advertiser reliance on data-driven tools and AI; and the increasing sophistication of the digital advertising landscape.</w:t>
      </w:r>
    </w:p>
    <w:p>
      <w:pPr>
        <w:spacing w:after="0" w:line="18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We address the digital advertising market through three core proprietary offerings: a demand-side platform (“DSP”) that advertisers use to plan, activate, and manage digital advertising campaigns; a supply-side platform (“SSP”) that digital publishers use to monetize inventory; and the Nexxen Data Platform, which integrates directly with both our DSP and SSP to drive performance. Our Data Platform leverages large-scale data sets, advanced machine learning techniques, and AI to generate audience insights and campaign recommendations. By contextualizing and synthesizing this data, the platform is designed to provide advertisers with a more comprehensive and granular view of audiences across formats and devices, which can improve campaign effectiveness and returns on advertising investments, while also supporting the optimization of digital publisher inventory monetization. By combining these three proprietary solutions with integrations across industry-leading partners, we offer an end-to-end platform that is designed to be flexible and scalable to meet our customers’ needs, while enabling us to operate across a broad and growing range of digital advertising spend and verticals.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customers are largely comprised of both ad buyers, including brands and agencies, and digital publishers. Our platform serviced a diversified customer base of 627 active customers and 1,304 active publishers as of December 31, 2025, and served advertisements in approximately 180 countries. We generate revenue through platform fees based on either (i) a percentage of spend, (ii) flat fees or (iii) fixed CPMs (“cost per mille”) that are tailored to fit our customers’ specific utilization of our solutions.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the past several years, the advertising environment has been influenced by a combination of macroeconomic, geopolitical, and pandemic-related factors. In 2022 and 2023, advertisers faced challenges from rising inflation, higher interest rates, and ongoing uncertainty related to the residual effects of the COVID-19 pandemic, which in some cases led to reduced or delayed campaigns. In 2024, the industry benefitted from lower inflation, reduced interest rates, and the U.S. election cycle, contributing to stronger advertising activity, although geopolitical hostilities and broader macroeconomic uncertainty continued to impact advertiser budgets to an extent. In 2025, the advertising environment remained generally positive, but growth was constrained by: cautious and uneven consumer spending; macroeconomic and industry uncertainty; evolving U.S. trade dynamics; ongoing geopolitical hostilities; tariffs; reduced political advertising spend compared to 2024; and increased supply path optimization (“SPO”) efforts by larger industry participants.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Video revenue grew to $242.0 million for the year ended December 31, 2025, from $232.4 million for the year ended December 31, 2024, while our CTV revenue fell to $109.4 million for the year ended December 31, 2025, from $113.8 million for the year ended December 31, 2024. Video revenue growth in 2025 was driven largely by strength in Desktop Video and partially offset by reduced CTV and Mobile video revenue. Video revenue growth, however, was constrained by several factors that impacted the business in the second half of the year, particularly Q4 2025, including reduced spending from one large DSP customer due to its increased SPO efforts in Q4 2025, the absence of elevated political advertising spend compared to 2024, and other headwinds including evolving U.S. trade dynamics, geopolitical hostilities, and tariffs which reduced advertising spend to an extent from certain customers.</w:t>
      </w:r>
    </w:p>
    <w:p>
      <w:pPr>
        <w:spacing w:after="0" w:line="20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Company generates revenues across multiple principal markets and categories of activity. Information regarding revenues by category of activity and by geographic market for the years ended December 31, 2025, 2024 and 2023 is presented in Notes 12 and 21a, respectively, to the consolidated financial statements.</w:t>
      </w:r>
    </w:p>
    <w:p>
      <w:pPr>
        <w:spacing w:after="0" w:line="18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total comprehensive income for the year ended December 31, 2025 decreased to $27.9 million from $35.4 million for the year ended December 31, 2024, representing a decline of 21.3%, or $7.5 million. Our Adjusted EBITDA for the year ended December 31, 2025 increased to $115.1 million, from $114.6 million for the year ended December 31, 2024, reflecting a year-over-year increase of 0.5%, or $0.6 million. Further, we had cash and cash equivalents of $133.3 million as of December 31, 2025, and no principal long-term debt.</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operate in the digital advertising industry, which is a core pillar of monetizing digital properties accessible by the internet. We specialize in digital video advertising, which collectively comprised 66% of our revenue for the year ended December 31, 2025, across mobile video, desktop video, and CTV.</w:t>
      </w:r>
    </w:p>
    <w:p>
      <w:pPr>
        <w:spacing w:after="0" w:line="16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believe key industry trends shaping the digital advertising market include: the continued growth of digital media consumption; the shift to programmatic advertising; increasing reliance on data-driven decision making; evolving consumer privacy and regulatory requirements; SPO; the migration of linear TV advertisers and budgets toward digital media; including CTV; live sports continuing to migrate to digital channels; the adoption of platforms that provide integrated solutions across the advertising supply chain; advances in AI; and seasonal fluctuations in advertising spend.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Growth of Digital Media Consumption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Audiences continue to spend an increasing amount of time online for social, business, and purchasing activities. The COVID-19 pandemic and subsequent work-from-home and hybrid in-office dynamics contributed to lasting shifts in digital media consumption habits and the adoption of online activities traditionally conducted offline, including telehealth, food delivery, and e-commerce. As consumers spend more time online for everyday activities, we believe advertisers will increasingly allocate a larger portion of their ad budgets to digital channels. According to eMarketer, in the United States, more than a third of the day is expected to be spent on digital media consumption during 2026. This digital consumption is occurring across multiple devices, including mobile, desktop, tablets, gaming devices, and CTVs. These trends may contribute to increases in both the supply and demand of available ad impressions that can be monetized programmatically.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Shift to Programmatic Advertising</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Programmatic advertising is the use of software and algorithms to match buyers and sellers of digital advertising in a real-time technology-driven marketplace. The transactions are executed in milliseconds and do not require manual labor for execution. It is becoming increasingly prominent in the digital advertising industry, as publishers and advertisers prefer that their bids/asks for digital ad inventory be completed in an easy, efficient, and automated manner. Additional advantages of programmatic advertising include enhanced audience targeting, attribution, and measurement, as well as improved customized campaign management workflow solutions. According to eMarketer, U.S. programmatic digital video ad spending is expected to increase from approximately $118 billion in 2025 to roughly $159 billion in 2027, at a CAGR of approximately 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Driven Decision Making and AI</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digital media industry grows, increased consumer engagement by audiences has generated large amounts of data and behavioral insights that can be harnessed to maximize returns on investment (“ROI”) for advertisers through effective audience targeting and measurement, and to optimize digital inventory monetization for publishers. These insights include industry-compliant anonymized data sets relating to consumer interests, preferences, and intent, as well as auction data from advertising bid requests. Technology solutions must efficiently and effectively process, analyze, and manage this growing volume of data while addressing increasing regulatory requirements and audience protection standards. AI is also becoming increasingly prevalent within the industry to enhance usability and maximize efficiency and effectiveness for advertisers and digital publishers across the advertising ecosystem.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Privacy and Regulatory Concerns</w:t>
      </w:r>
    </w:p>
    <w:p>
      <w:pPr>
        <w:spacing w:after="0" w:line="25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In recent years, there has been growing attention on how consumer data is being collected and used for ad targeting. Both globally and locally, new laws have been introduced to protect consumer privacy and set new standards for the digital advertising industry. Key regulations include the GDPR (General Data Protection Regulation), the UK GDPR, the ePrivacy Directive (as implemented in national laws, including the UK Privacy and Electronic Communications Regulations), California Consumer Privacy Act as amended by the California Privacy Rights Act, California Invasion of Privacy Act, the Colorado Privacy Act, the Connecticut Data Privacy Act, Florida Digital Bill of Rights, Indiana Consumer Data Protection Act, Iowa Consumer Data Protection Act, Kentucky Consumer Data Protection Act, Maryland Online Data Privacy Act, Montana Consumer Privacy Act, Nevada Privacy of Information Collected on the Internet from Consumers Act, New Jersey Data Protection Act, Oregon Consumer Privacy Act, Rhode Island Data Transparency and Privacy Protection Act, Texas Consumer Privacy Protection Act, Utah Consumer Privacy Act, Virginia Consumer Data Protection Act, and Apple’s Identifier for Advertisers. Additionally, major web browsers like Safari and Firefox have eliminated third-party cookies, and Google is moving towards a system where users must opt-in to share their data with third-party cookies. These changes require companies in the digital advertising space to constantly adapt to meet new privacy requirements.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advertising industry, companies commonly experience seasonal fluctuations in revenue. For example, many marketers allocate the largest portion of their budgets to the fourth quarter of the calendar year to coincide with increased holiday purchasing. Historically, the fourth quarter of the calendar year has reflected our highest level of advertising activity, while the first quarter has generally represented our lowest quarterly revenue due to seasonal factors. Historical seasonality may not be predictive of future results, given the potential for changes in consumer activity and advertising patterns as advertisers respond to emerging industry trends, dynamic macroeconomic conditions, global trade developments, political conditions, election cycles, major non-annual advertising events, and ongoing geopolitical hostilities. Nevertheless, we expect our revenue to continue to fluctuate based on seasonal factors that affect the advertising industry as a whole.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well positioned to capitalize on some of the fastest-growing segments of digital advertising, such as Video, including CTV, which reflected 66% of our revenue for the year ended December 31, 2025.</w:t>
      </w:r>
    </w:p>
    <w:p>
      <w:pPr>
        <w:spacing w:after="0" w:line="189"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Global digital advertising spend is forecasted to be $792 billion for 2025 and is expected to grow at an approximately 10% CAGR to over $1.1 trillion in 2029. As advertisers follow audiences to emerging digital channels, digital advertising is expected to outpace the growth of total global media ad spend. Increased internet bandwidth in developing countries is expected to support this growth, and the increasing proliferation of next-generation mobile, CTV, and other on-the-go technology devices in developed countries, alongside changes in consumer content viewing habits, is driving growing video viewership. These trends are expected to contribute to increased adoption of full-screen video formats, which have historically been widely used by advertisers. We believe these long-term shifts in the industry present opportunities for companies operating in the digital advertising technology space, particularly Nexxen, given its long-standing focus on Video, CTV, robust and differentiated datasets, and AI, alongside its end-to-end platform model, which we believe may provide opportunities to capture a broader market opportunity relative to one-sided peers and competitors.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Video and CTV Advertising</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We address some of the fastest growing areas within digital advertising, Video and CTV, which are expected to grow at an accelerated rate compared to other formats. In the U.S., where we generate most of our revenue, the growth rates and adoption of Video and CTV are expected to be even higher. According to eMarketer, U.S. CTV ad spend is projected to grow at a CAGR of approximately 12% from 2025 to 2029, reaching roughly $53 billion. U.S. Video ad spend is projected to grow at a CAGR of approximately 13% from 2025 to 2029, reaching roughly $216 billion. Additionally, the number of digital video viewers worldwide is expected to reach approximately 4.5 billion by 2029.</w:t>
      </w:r>
    </w:p>
    <w:p>
      <w:pPr>
        <w:spacing w:after="0" w:line="18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Linear TV budgets are increasingly shifting towards digital video and CTV, driving greater demand for these premium ad formats. These market trends underpin our strategic focus on these activities, which we believe may present continued growth opportunities given the proliferation of smart TVs, the growing availability of ad-supported streaming content and providers, native Smart TV home screen advertising units becoming available programmatically, and live sports increasingly being viewed across digital environments. As linear TV and CTV continue to converge, with many linear TV broadcasters expanding their CTV footprints through digital assets such as FAST channels and streaming apps, we anticipate that advertisers, digital publishers, and broadcasters will increasingly seek platforms such as ours that can support cross-planning between linear TV, CTV, and other digital environments, which could contribute to higher levels of CTV demand on our platform over time. Finally, our robust and advanced TV data sources and capabilities offered through Nexxen Data Platform, available to customers leveraging our CTV advertising technology solutions, in many instances can support more effective targeting for advertisers across the TV landscape as well as improved ROI on CTV advertising spend, which could contribute to greater long-term CTV revenue growth opportunities.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Advertising</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number of consumers with smart phones and high-speed internet is expected to continue rising, supporting mobile advertising as a prominent channel within digital. According to eMarketer, U.S. mobile digital ad spend is projected to grow at a CAGR of approximately 10% from 2025 to 2029, reaching approximately $336 billion. As generative AI technologies, including large language models (“LLMs”), begin to shift user attention and engagement patterns away from traditional desktop and mobile web experiences, we see potential for sizable growth within mobile in-app advertising, which may be less impacted by these changes, and we are allocating additional resources and focus to support expansion within this channel.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Role in the Digital Advertising Ecosystem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Advertisers and Agencies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Spending begins with advertisers, who often engage advertising agencies to help plan, execute, and manage their campaigns. To better control and optimize advertising operations, advertisers and agencies are consolidating spend with fewer, larger technology platforms that can deliver transparency, support high-quality inventory, offer data- and AI-driven campaign planning, activation, and measurement, and help generate better returns on advertising spend (“ROAS”) relative to other solutions. These advertisers and agencies access our platform through both Nexxen DSP and other third-party DSPs. We believe that our end-to-end technology platform and direct relationships with advertisers and agencies may contribute to increasing consolidation of spend on our platform over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Side Platforms (“DSP”)</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Advertisers and agencies often engage DSPs, which serve as advertising demand aggregators, to plan, execute, and manage their digital marketing campaigns across various ad formats. We offer self-service, managed-service, and hybrid options through our DSP, supporting customized, flexible, and robust campaigns. We are also integrated with other leading DSPs globally, such as The Trade Desk and Google DV360, which enables customers to transact in real-time with both our publisher clients and other external publishers.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Side Platforms (“SSP”)</w:t>
      </w:r>
    </w:p>
    <w:p>
      <w:pPr>
        <w:spacing w:after="0" w:line="25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SSPs such as ours are designed to monetize digital inventory for publishers and app developers by enabling their content to meet the necessary software code and programmatic integration requirements. Buyers and sellers come together through our marketplace to monetize, target, and purchase available digital advertising inventory. Our platform is designed to efficiently process significant volumes of advertising bid information, providing a seamless digital experience for our customers. Traditionally, SSPs have focused exclusively on the needs of sellers in this process and have limited their interactions with buyers to the buyers’ agent, the DSP (though this dynamic has evolved recently). As buyers have sought greater control of their advertising supply chain, we have extended the capabilities of our specialized platform over recent years to serve the needs of advertisers and agencies. In addition to operating Nexxen SSP, we are integrated with other leading SSPs globally, such as Magnite and Pubmatic, which allows customers to transact in real time with our advertiser and agency clients, as well as other external advertisers and agencies.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Publishers and Content Providers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Digital publishers and app developers create websites, digital content, and applications for user consumption, along with associated digital advertising space. As consumers navigate these websites and apps, individual ad impressions are delivered across various ad formats and channels. These impressions are typically sold to advertisers and agencies programmatically in real-time via a third-party technology infrastructure or SSP. Publishers and app developers rely on advertising revenue as a primary growth driver for their businesses and depend on the capabilities of these third parties to achieve optimal yield for their advertising inventory. As of December 31, 2025, we served 1,304 active publishers worldwide on our platform, consisting of 184,090 active sites and apps to which we have direct access to deliver ads for our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attributes and capabilities provide us with long-term competitive advantages.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Established Expertise in Video, Including Mobile and CTV</w:t>
      </w:r>
    </w:p>
    <w:p>
      <w:pPr>
        <w:spacing w:after="0" w:line="25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We believe Video, including CTV and mobile video, is among the fastest growing areas of digital advertising, and Video represented 66% of our total revenue for the year ended December 31, 2025, and approximately 71% of our revenue excluding Performance (non-programmatic) activity for the year ended December 31, 2025. We were one of the first movers in the digital video advertising and CTV markets, in several cases releasing industry-first solutions, helping us gain early traction, strong customer adoption, and recognition as a leading advertising technology provider within these markets. Our platform was intentionally built as an end-to-end video campaign delivery solution and, over time, we have further enhanced our platform’s Video- and CTV-focused technology and data capabilities through both organic investment and acquisitions. We intend to continue investing in, innovating, and releasing new Video-focused solutions. In 2025, we launched, to the best of our knowledge, the industry’s first solution for programmatic Smart TV home screen ad activation, further strengthening our position as an innovative leader in the CTV market. We are also expanding our mobile in-app footprint and partnerships, which we believe represents a significant growth opportunity which may also help mitigate potential impacts from evolving consumer behaviors, including the increased adoption of generative AI-driven search platforms and other LLMs.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End-to-End Platform with Proprietary Technology, Data, and AI</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leverage our fully integrated, unified, end-to-end platform to help advertisers and digital publishers maximize ROI while optimizing the connection between brands, audiences, and media partners using our proprietary data sets, technology products, and suite of AI-powered solutions, which we’ve branded as “nexAI”. We can assist customers across all stages of the campaign lifecycle including planning, activation, optimization, monetization, and measurement. We believe we have a competitive advantage through our proprietary data, robust demand and supply sources, partnerships with premium vendors, AI suite, and comprehensive solutions across the digital advertising technology supply chain. As a technology-first solution, our platform is agnostic and capable of transacting end-to-end or integrating with third-party sources to serve our customers, which we believe differentiates us, can support long-term growth, and can expand our addressable market across both sides of the digital advertising ecosystem.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Scale and Reach with Audiences, Advertisers, and Publishers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currently accommodates approximately 487 billion daily ad requests and approximately 679 million daily ad impressions on average. This significant daily volume of ad requests, data, and impressions provides scale with publishers and access to direct, and in some cases exclusive, premium advertising inventory, enabling our advertising customers to avoid intermediaries and reduce costs. Operating an end-to-end platform strongly positions us to minimize the loss of scale typically associated with two independent platforms user-syncing with each other. This advantage supports efficient and highly scalable audience-targeted buying strategies to maximize ROAS.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Nexxen Data Platform: Integrated Data, AI, Machine Learning, and Technology Drives ROI</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proprietary Nexxen Data Platform is a flexible, fully integrated solution comprised of robust, and, in some cases, exclusive datasets that can be leveraged across campaigns, formats, and stages of the digital advertising lifecycle. The platform facilitates the entire data supply chain, including through direct data onboarding, audience targeting and sentiment analysis tools, identity solutions, audience reach extension, and measurement, providing advertisers and digital publishers with a comprehensive approach to leveraging data.</w:t>
      </w:r>
    </w:p>
    <w:p>
      <w:pPr>
        <w:spacing w:after="0" w:line="18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Nexxen Data Platform combines first-party data with third-party partnerships to identify, reach, and expand curated audiences, benefiting both advertiser and publisher customers. It employs AI in the form of machine learning algorithms and statistical models to aggregate and analyze vast volumes of data, contextualizing it into actionable insights that can be applied in real-time across campaigns to fuel better performance and efficiency. This integration of data and AI with our end-to-end technology is designed to drive performance for customers by optimizing media costs, improving targeting precision, and protecting against invalid traffic.</w:t>
      </w:r>
    </w:p>
    <w:p>
      <w:pPr>
        <w:spacing w:after="0" w:line="18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machine learning algorithms can process millions of requests per second to support optimization and prediction models, including invalid traffic monitoring, viewability, queries per second, bidding, and pricing. These capabilities enable us to continuously identify, build, expand, and refine audiences, helping customers achieve their key performance indicators (“KPIs”) and maximize ROI across campaigns.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with, and Investment in, V, and Programmatic Smart TV Home Screen Solution</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2022, Nexxen has partnered with, and invested in, V, a subsidiary of Hisense and the world’s fastest-growing major CTV operating system (“CTV OS”), powering Hisense, Toshiba, and other CTV brands. In 2025, we announced our intent to increase our total investment in V from $25 million to $60 million while extending and expanding our commercial partnership through at least the end of 2029 (previously through 2026). Our investment will represent an approximately 6% equity stake in V once fully deployed, of which $45 million has been invested ($25 million in 2022 and $20 million in Q3 2025), with the remaining $15 million expected to be invested in Q3 2026. We expect to generate returns on this investment over time as V executes its ambitious global growth plans, including by leveraging our most recently invested capital to expand its North American CTV footprint.</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our commercial partnership, Nexxen has secured global automatic content recognition (“ACR”) data exclusivity and ad monetization exclusivity on V’s North American video and native display media through at least the end of 2029. Leveraging our end-to-end platform and this exclusivity, we launched what we believe to be the industry’s first solution for programmatic Smart TV home screen ad activation in 2025 on Hisense and other V-powered Smart TVs, providing access to premium, high-value placements on a rapidly-growing base of CTV home screens. To the best of our knowledge, we believe no other digital advertising technology company currently offers this capability, differentiating Nexxen, accelerating our long-term CTV revenue growth potential, and helping insulate us from SPO trends implemented by the world’s largest DSPs. We believe over time we can expand this capability beyond V-powered CTVs to other major CTV original equipment manufacturers (“CTV OEMs”).</w:t>
      </w:r>
    </w:p>
    <w:p>
      <w:pPr>
        <w:spacing w:after="0" w:line="190"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Exclusive access to V’s global ACR data further differentiates Nexxen with robust CTV targeting and measurement solutions, which we believe can attract higher levels of CTV advertising spending to our platform by supporting performance and advertiser ROI. Additionally, we can license this ACR data to third parties, creating an additional high-margin growth trajectory we expect to capitalize on over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of Industry Veterans with Extensive Expertise</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senior management team brings deep experience in the digital advertising technology industry, which we believe provides a competitive advantage. The team has a strong track record of acquiring and integrating synergistic businesses, as well as driving organic growth, which we believe positions Nexxen to continue expanding its growth and profitability.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w:t>
      </w:r>
    </w:p>
    <w:p>
      <w:pPr>
        <w:spacing w:after="0" w:line="24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Historically, we have delivered strong margins relative to our peers in the advertising technology industry. For the year ended December 31, 2025, our total comprehensive income margin was 7.6% and our Adjusted EBITDA margin (as a percentage of revenue) was 31.6%, compared to our total comprehensive income margin of 9.7% and Adjusted EBITDA margin (as a percentage of revenue) of 31.3% for the year ended December 31, 2024. Our total comprehensive income margin decrease in 2025 was driven by a $7.5 million decline in total comprehensive income, partially offset by a $0.7 million decrease in revenue. Our Adjusted EBITDA margin increase in 2025 was driven by a $0.6 million increase in Adjusted EBITDA and a $0.7 million decrease in revenue. We believe we can expand our profitability and margins over time through revenue, total comprehensive income, and Contribution ex-TAC growth, improving operating leverage driven by the structural cost advantages of our end-to-end model, and efficiencies enabled by nexAI. We intend to continuously improve our cost structure and enhance our AI integrations, while our ability to sell multiple technology and data solutions across the advertising ecosystem, combined with our differentiated offerings, is expected to further support long-term growth and profitability expansion.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believe that programmatic advertising is still an underpenetrated market that will experience robust growth over the next decade as ad budgets continue to shift to digital and as digital continues to shift towards programmatic execution. We intend to capitalize on these secular trends by pursuing growth opportunities that include: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Core Areas of Growth in Video, Including Mobile and CTV</w:t>
      </w:r>
    </w:p>
    <w:p>
      <w:pPr>
        <w:spacing w:after="0" w:line="24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CTV is one of the fastest growth formats within digital advertising, and this trend is expected to continue over the next several years, according to eMarketer. In the United States, CTV advertising spend is expected to grow at a CAGR of approximately 12% from 2025 to 2029, while digital Video advertising spend is expected to grow at a CAGR of approximately 13%, reaching roughly $216 billion by 2029. Video (including mobile video, desktop video and CTV) advertising represented approximately 71% of our revenue without Performance (non-programmatic) activity for the year ended December 31, 2025, and remains a core strategic focus. We plan to leverage our existing expertise in Video and CTV to grow our market share and plan to introduce new, differentiated solutions to drive performance for customers. According to eMarketer, U.S. mobile digital ad spend is projected to grow at a CAGR of approximately 10% from 2025 to 2029, reaching approximately $336 billion. As generative AI technologies, including LLMs, begin to shift user attention and engagement patterns away from traditional desktop and mobile web experiences, we see potential for sizable growth within mobile in-app advertising, which may be less impacted by these changes, and we are allocating additional resources and focus to support expansion within this channel, including through growing partnerships.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Introduce New Solutions and Capabilities, and Invest in our Technology, Data, and AI Stack</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As we grow our market share and add new customers, we continue to invest in our technology, data, and AI stack and develop new innovative solutions. We are continuously focused on introducing differentiated solutions to address the rapidly evolving digital advertising market. Key areas of potential growth and investment include enhancing our proprietary data sets and capabilities within Nexxen Data Platform through AI and machine learning; expanding and strengthening our CTV advertising offerings; increasing our mobile in-app footprint and capabilities; enhancing our audience targeting capabilities; expanding our identity solutions; and broadening our global platform coverage.</w:t>
      </w:r>
    </w:p>
    <w:p>
      <w:pPr>
        <w:spacing w:after="0" w:line="186"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We provide customers with creative alternatives to plan and execute campaigns, offering complementary scale and opportunities to enhance audience targeting strategies. For example, we offer, and will continue to enhance, contextual and other audience targeting solutions powered by content data collected through our publisher partnerships, as well as third-party solutions integrated into our ecosystem.</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Industry-wide movement away from cookie-based tracking has increased demand for alternative identity solutions. We offer our own proprietary identity solutions, and maintain partnerships with, and are increasingly integrating, major alternative identifier frameworks such as IdentityLink and Unified ID 2.0. We are committed to supporting evolving privacy requirements and emerging identifier standards. We believe the industry will not converge on a single alternative to cookie-based tracking, and we are enhancing our platform to agnostically support multiple identity solutions.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 on V Partnership and Programmatic Smart TV Home Screen Ad Activation Solution</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Nexxen is partnered with V, a subsidiary of Hisense and the world’s fastest-growing major CTV OS, and has extended the partnership through at least the end of 2029, positioning us to benefit from the continued global expansion of V-powered Smart TVs. We intend to invest in our commercial, media, and data teams to fully capitalize on the holistic opportunity presented by this partnership.</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this partnership, Nexxen has secured global ACR data exclusivity on V-powered CTVs and ad monetization exclusivity on V’s North American video and native display media through at least the end of 2029. Leveraging our end-to-end platform and this exclusivity, we launched what we believe to be the industry’s first solution for programmatic Smart TV home screen ad activation in 2025 on Hisense and other V-powered Smart TVs, providing access to differentiated, high-attention CTV ad placements commanding premium pricing. To the best of our knowledge, no other digital advertising technology company currently offers this capability, which we believe further differentiates Nexxen, creates a strong competitive moat, can attract greater CTV advertising spend to our platform, and can potentially accelerate our long-term CTV and data revenue growth opportunity. Over time, we expect to expand this programmatic Smart TV home screen ad activation solution beyond V-powered CTVs to additional CTV OEMs.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1" w:name="page42"/>
    <w:bookmarkEnd w:id="41"/>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Exclusive access to V’s global ACR data further strengthens our CTV audience targeting and measurement capabilities, supporting advertiser performance and ROI while providing the potential to attract higher levels of advertising spend to our platform. Additionally, we can license V’s ACR data, creating an additional high-margin growth opportunity.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End-to-End Enterprise Partnerships and Revenue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other areas, we are focused on expanding relationships with large enterprise self-service customers that have significant advertising budgets. As an end-to-end platform, we are uniquely positioned to support these customers across the entire advertising and data supply chain, including planning, activation, optimization, monetization, and measurement, delivering both performance and operational efficiencies. Our integrated platform enables enterprise customers to maximize audience reach, gain robust data insights, drive higher ROI, and simplify campaign execution, while simultaneously driving increased revenue and profitability for Nexxen. By facilitating both sides of the transaction, from demand via our DSP to supply via our SSP, we believe enterprise partnerships offer a disproportionate growth opportunity compared to one-sided platform competitors and can provide a degree of insulation from SPO trends being implemented by large DSPs.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 Our Relationships with Existing Customers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are continuously enhancing functionality across our platform to attract new customers, encourage our existing customer base to allocate more of their advertising spend and inventory to our platform, and have customers adopt more solutions within our product ecosystem. As programmatic advertising adoption grows, and as brands and publishers increasingly focus on Video, CTV, data, AI, efficiency, and improved ROI, we believe we are well-positioned to both expand our customer base and generate additional revenue from existing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International Footprint and U.S. Market Share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acquire new publishers and advertisers across markets while expanding our global footprint, delivering significant demand and supply for digital ad impressions across all channels and formats. We will continue to enhance and expand third-party integrations to maintain and improve our platform’s flexibility, while leveraging our technology and data stack to provide innovative solutions to new and existing customers across markets and platforms. By consistently developing new tools and products, and enhancing existing ones, we believe we can help customers maximize the value of our platform and services, accelerating our long-term growth potential.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Bolster Nexxen Data Platform’s Capabilities</w:t>
      </w:r>
    </w:p>
    <w:p>
      <w:pPr>
        <w:spacing w:after="0" w:line="24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We leverage real-time data, AI, and machine learning to synthesize, aggregate, and contextualize vast datasets, helping our advertiser and publisher customers optimize digital ad spend and inventory management. Nexxen Data Platform was architected for flexibility, delivering impactful insights that are agnostic to format or device. By owning and operating a proprietary data platform, we can provide robust analytics, audience targeting, segmentation, reach extension, and measurement on a global scale. We continuously enhance the platform to make it seamless for customers to directly onboard first-party data, leverage identifier solutions, expand audience reach, and optimize and measure campaign effectiveness, all within a single, integrated platform. We believe this combination gives us a competitive advantage, enabling higher ROI for advertisers, optimal yield for publishers, and strong growth potential for Nexxen amid the industry’s increasing focus on performance. We believe we can extend this advantage by further investing in data and AI, and introducing more data- and AI- powered solutions and capabilities, to enhance the efficacy and usability of our data to maximize results for customers, which in turn can potentially increase the advertising spend and inventory allocated to our platform.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our Industry Expertise and Target Select Acquisitions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have a successful track record with past acquisitions and may leverage our industry experience to identify future complementary opportunities that broaden our scale and enhance our technology and data solutions. If we identify future attractive acquisition opportunities, we believe we have the expertise, leadership, and operational capability to execute strategic transactions and effectively integrate them into our platform.</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Our Solution and End-to-End Technology Platform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Our end-to-end platform is a comprehensive software suite that supports a wide range of media types (such as Video, Smart TV native, audio, and display) and devices (including mobile devices, CTVs, streaming devices, and desktops), creating an efficient marketplace where advertisers can purchase high-quality advertising inventory from publishers at scale. Our solutions provide a number of advantages, including an advanced real-time bidding auction optimization engine, access to a global, high-quality marketplace, robust data and AI capabilities, and flexibility to execute concurrent campaign strategies designed to drive strong returns on digital advertising investments. When customers utilize our platform on an end-to-end basis, they often realize cost efficiencies and enhanced ROAS.</w:t>
      </w:r>
    </w:p>
    <w:p>
      <w:pPr>
        <w:spacing w:after="0" w:line="18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platform handles approximately 487 billion daily ad requests on average. Each ad request is processed in a fraction of a second (55ms on average) and powered by our real-time bidding engine, which leverages private servers and infrastructure in four strategically placed data centers located in the U.S., Europe, and Asia Pacific, as well as cloud resources.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Components of our end-to-end platform include:</w:t>
      </w:r>
    </w:p>
    <w:p>
      <w:pPr>
        <w:spacing w:after="0" w:line="239" w:lineRule="exact"/>
        <w:rPr>
          <w:sz w:val="20"/>
          <w:szCs w:val="20"/>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Side Platform – We offer a self-service DSP solution that enables advertisers and their agencies to efficiently plan, activate, and manage omnichannel campaigns, optimize toward improved performance and ROI, and gain deep insights into brand engagement. Our DSP provides extensive access to premium inventory, differentiated data for audience targeting, AI, planning capabilities across formats, incrementality testing solutions, and advanced reporting and measurement. We also offer full-service or hybrid buying models for advertisers and agencies to support a broad range of business needs.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Platform – We offer a fully integrated data platform that sits at the core of our end-to-end offering and unlocks the value of data flowing through our DSP and SSP solutions. Our data platform, referred to as “Nexxen Data Platform,” enables advertisers and publishers to directly onboard, manage, plan, activate and measure, with data from multiple (and in some case exclusive) sources to optimize performance and ROI. Nexxen Data Platform delivers actionable insights and recommendations across geographic, behavioral, consumption, demographic, and other data dimensions within a unified solution. Our data platform supports direct data onboarding, audience targeting and segmentation, sentiment analysis, reach extension, identity resolution, optimization, and measurement, and is continually enhanced through AI and machine learning. We believe an integrated data platform that can support advertisers and digital publishers across the entire data supply chain is a critical component of our marketplace, as it enables more accurate audience targeting, improved campaign optimization, and consistent data activation across channels and formats.</w:t>
      </w:r>
    </w:p>
    <w:p>
      <w:pPr>
        <w:spacing w:after="0" w:line="20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Side Platform – We offer a self-service SSP solution that enables publishers to sell their digital advertising inventory through a real-time bidding auction across all screens, including mobile devices, CTVs, streaming devices, and desktops. Our SSP provides publishers with access to robust data, differentiated demand sources, and a comprehensive product suite designed to support efficient and effective inventory management, yield optimization, deal management and revenue growth.</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 AI (“nexAI”) – We collect, synthesize, and analyze data across our platform using a combination of our comprehensive suite of AI-powered solutions (which we’ve branded as “nexAI”), machine learning, and deep learning technologies. These capabilities generate efficiency and actionable insights that inform bidding decisions, optimize campaign performance, and support forecasting of ad impression and auction dynamics. We believe these analytics and AI-driven capabilities enhance outcomes for both advertisers and publishers, and we expect to continue investing in these technologies to improve performance, efficiency, and scalability across our platform.</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Discovery – Nexxen Discovery is an audience insight and activation product, and key component of Nexxen Data Platform. It unifies data from cross-channel sources, including our proprietary TV viewership data, and leverages first-party data to build intelligent audience profiles that are utilized across planning and activation. Powered by AI and machine learning, Nexxen Discovery provides actionable audience insights, including around sentiment analysis, interest, and brand affinity, to help customers create targeted segments, extend reach, and optimize campaigns in real time. It integrates seamlessly with our DSP and SSP to support planning, activation, and measurement across channels and inventory.</w:t>
      </w:r>
    </w:p>
    <w:p>
      <w:pPr>
        <w:spacing w:after="0" w:line="19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Studio – Nexxen’s in-house digital creative studio provides a range of creative solutions tailored to the needs of brands and agencies. Our comprehensive pre-flight creative testing and audience based in-flight creative optimization capabilities are enhanced through AI and fully integrated with Nexxen’s flexible, unified platform to maximize campaign performance.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DSP</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features of our DSP include:</w:t>
      </w:r>
    </w:p>
    <w:p>
      <w:pPr>
        <w:spacing w:after="0" w:line="239" w:lineRule="exact"/>
        <w:rPr>
          <w:sz w:val="20"/>
          <w:szCs w:val="20"/>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AI-powered, intuitive self-service interface that enables advertisers to seamlessly plan, activate, and manage campaigns with full control while streamlining daily workflows.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machine learning algorithms that optimize toward customers’ specific campaign goals, provide efficiency, and drive effective buying to meet online and offline KPIs.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access to a variety of premium (and in some cases exclusive) data sources, including advertisers’ first-party data, proprietary Nexxen data, and a wide range of specialized third-party data across verticals.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forecasting and planning tools that accurately predict reach and spend across screens, formats, and audiences, helping advertisers strategically prepare campaigns for success.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premium (and in some cases exclusive) supply from Nexxen SSP and other leading third-party SSPs.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buying support for Smart TV home screen native units.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automated bidding and optimization that leverages AI to improve campaign performance dynamically.</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and transparent omnichannel reporting and analytics tools that allow advertisers to track campaign performance in real-time, build custom and advanced reports, and combine with other data sets for independent analysis.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Nexxen Studio, offering creative solutions ranging from turnkey to fully customizable designed to drive performance across digital environments.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brand surveys that deliver actionable insights for advertisers to evaluate brand lift, behavioral engagement, and emotional impact.</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suite of brand safety solutions, including integrations with industry-leading verification partners, ensuring campaigns are executed securely and with confidence.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SSP</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features of our SSP include:</w:t>
      </w:r>
    </w:p>
    <w:p>
      <w:pPr>
        <w:spacing w:after="0" w:line="239" w:lineRule="exact"/>
        <w:rPr>
          <w:sz w:val="20"/>
          <w:szCs w:val="20"/>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and highly intuitive self-service platform that enables publishers to easily integrate into our ecosystem, manage their digital inventory, access real-time reporting and analytics, and transact with programmatic buyers through private marketplace (“PMP”) deals. Publishers also benefit from demand available directly through our proprietary DSP solution and additional demand facilitation initiatives driven by our global salesforce.</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connection to Nexxen DSP, and other major leading DSPs, alongside compatibility with most AdAge top 100 brands. Our SSP delivers over 21 billion advertisements to viewers every month, optimizes content across multiple ad formats, builds effective custom audiences, and delivers strong ROI at scale.</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Omnichannel marketplace with access to 1,304 active publishers across the globe.</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proprietary ACR data through our exclusive TV Intelligence product, which enhances monetization by creating comprehensive audience targeting opportunities.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Simplified first-party data onboarding for key-value pair targeting, contextual cookie-less targeting options, and access to a variety of third-party audience data sources. Identity resolution capabilities allow publishers to connect audiences across devices and channels, providing advertisers with a closer connection to their target audiences and improving inventory monetization.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4" w:name="page45"/>
    <w:bookmarkEnd w:id="44"/>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forecasting analytics and data-driven yield optimization tools that maximize inventory monetization and deliver strong ROI at scale.</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for publishers to customize their experience by opting out of certain ad verticals or specific advertisers, managing channel conflicts, and controlling inventory access.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all major integration types, including open real-time bidding, header-bidding solutions, and proprietary client-side solutions, such as our video player, giving publishers flexibility in how they offer inventory to advertisers.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Curated Marketplace, a self-service or API-accessed solution for brands, publishers, media, and data companies to manage, optimize, and monetize assets with a direct path to premium publisher inventory. This product allows users to create highly targeted, high-value PMPs.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Transparent pricing and reporting that enables publishers to see revenue performance and make data-driven decisions about their inventory.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Nexxen Data Platform</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features of Nexxen Data Platform include:</w:t>
      </w:r>
    </w:p>
    <w:p>
      <w:pPr>
        <w:spacing w:after="0" w:line="239" w:lineRule="exact"/>
        <w:rPr>
          <w:sz w:val="20"/>
          <w:szCs w:val="20"/>
          <w:color w:val="auto"/>
        </w:rPr>
      </w:pPr>
    </w:p>
    <w:p>
      <w:pPr>
        <w:jc w:val="both"/>
        <w:ind w:left="320" w:hanging="312"/>
        <w:spacing w:after="0" w:line="266"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audience segmentation and targeting – Audience segments are generated directly within our platform using a combination of first- and third-party data, including strategic data partnerships. Advertisers and publishers can also connect and activate their own first-party data across our ecosystem to improve campaign precision.</w:t>
      </w:r>
    </w:p>
    <w:p>
      <w:pPr>
        <w:spacing w:after="0" w:line="189"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machine learning and AI capabilities – Our platform leverages statistical models and AI-driven analysis to uncover insights from behavioral, demographic, and contextual data, enabling advertisers and publishers to achieve stronger performance metrics, optimize targeting, and improve ROI.</w:t>
      </w:r>
    </w:p>
    <w:p>
      <w:pPr>
        <w:spacing w:after="0" w:line="161" w:lineRule="exact"/>
        <w:rPr>
          <w:rFonts w:ascii="Times New Roman" w:cs="Times New Roman" w:eastAsia="Times New Roman" w:hAnsi="Times New Roman"/>
          <w:sz w:val="18"/>
          <w:szCs w:val="18"/>
          <w:color w:val="auto"/>
        </w:rPr>
      </w:pPr>
    </w:p>
    <w:p>
      <w:pPr>
        <w:ind w:left="320" w:right="20" w:hanging="312"/>
        <w:spacing w:after="0" w:line="282"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onboarding and activation of first-party data – Advertisers and publishers can seamlessly and directly onboard their first-party data into Nexxen Data Platform, enabling unified reporting, reach extension, audience targeting, and advanced measurement across the entire ecosystem.</w:t>
      </w:r>
    </w:p>
    <w:p>
      <w:pPr>
        <w:spacing w:after="0" w:line="175"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forecasting and analytics – The platform provides actionable insights and forecasting tools to predict audience scale, reach, and media costs. Insights can be accessed through self-service interfaces or curated by our data team to support campaign planning and PMPs.</w:t>
      </w:r>
    </w:p>
    <w:p>
      <w:pPr>
        <w:spacing w:after="0" w:line="175"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Identifier and measurement solutions – Our platform includes identity resolution capabilities, connecting audiences across devices and channels to enhance targeting, attribution, and measurement.</w:t>
      </w:r>
    </w:p>
    <w:p>
      <w:pPr>
        <w:spacing w:after="0" w:line="161" w:lineRule="exact"/>
        <w:rPr>
          <w:rFonts w:ascii="Times New Roman" w:cs="Times New Roman" w:eastAsia="Times New Roman" w:hAnsi="Times New Roman"/>
          <w:sz w:val="18"/>
          <w:szCs w:val="18"/>
          <w:color w:val="auto"/>
        </w:rPr>
      </w:pPr>
    </w:p>
    <w:p>
      <w:pPr>
        <w:jc w:val="both"/>
        <w:ind w:left="320" w:hanging="312"/>
        <w:spacing w:after="0" w:line="266"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data assets and TV intelligence – Our expertise in collecting, packaging, and activating TV viewership data through Nexxen TV Intelligence allows advertisers to plan, activate, and measure campaigns across digital formats with retargeting and attribution benefits. Nexxen has an exclusive global ACR data partnership with V that customers can leverage in their CTV targeting and measurement efforts.</w:t>
      </w:r>
    </w:p>
    <w:p>
      <w:pPr>
        <w:spacing w:after="0" w:line="18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End-to-end ecosystem integration – As part of our unified tech stack, our data platform seamlessly connects with our DSP, SSP, AI, and other tools, enabling efficient audience activation, campaign optimization, and measurement across the full advertising supply chain.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Nexxen Discovery</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features of Nexxen Discovery include:</w:t>
      </w:r>
    </w:p>
    <w:p>
      <w:pPr>
        <w:spacing w:after="0" w:line="239"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Unification of disparate data across digital, TV (linear, CTV, and streaming), and social environments, combined with proprietary web-based panels and bid-stream data, to provide a clear view of audiences and enable precise, flexible targeting and reach extension.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AI, machine learning, and natural language processing to analyze behavioral patterns, sentiment, trends, and interests, delivering actionable insights for customers.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clients with a comprehensive set of capabilities to discover, understand, monitor, and engage their audiences across channels, supporting real-time activation based on consumer behaviors and interests.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the use of first-party data to enhance targeting, expand audience reach, and optimize campaigns across channels and inventory.</w:t>
      </w:r>
    </w:p>
    <w:p>
      <w:pPr>
        <w:spacing w:after="0" w:line="225" w:lineRule="exact"/>
        <w:rPr>
          <w:rFonts w:ascii="Times New Roman" w:cs="Times New Roman" w:eastAsia="Times New Roman" w:hAnsi="Times New Roman"/>
          <w:sz w:val="18"/>
          <w:szCs w:val="18"/>
          <w:color w:val="auto"/>
        </w:rPr>
      </w:pPr>
    </w:p>
    <w:p>
      <w:pPr>
        <w:ind w:left="320" w:right="20" w:hanging="312"/>
        <w:spacing w:after="0" w:line="282"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Produces custom, transparent audience segments and smart contextual targets derived from behavioral patterns and sentiment to improve engagement, reach, and campaign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customers consist largely of leading global brands and advertising agencies on the demand side, and high-quality publishers on the supply side, spanning several industries including retail, entertainment, consumer, financial services, healthcare, and others. For the year ended December 31, 2025, we had 627 active customers, including industry-leading brands and agencies such as IPG, WPP, Publicis, H/L, Yahoo!, Tinuiti, and LG.</w:t>
      </w:r>
    </w:p>
    <w:p>
      <w:pPr>
        <w:spacing w:after="0" w:line="17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On our demand side, brands and agencies leverage our self-service, managed-service, and hybrid DSP offerings, with integrations across the industry’s major third-party DSPs. On the supply side, we service digital publishers, app developers, and self-service platform subscribers, also supported by integrations with leading third-party SSPs.</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generally contract with customers through master services agreements (“MSAs”) and/or insertion orders, which govern the terms of running particular campaigns. Our MSAs typically have one-year terms that renew automatically unless terminated earlier, giving users access to our platform.</w:t>
      </w:r>
    </w:p>
    <w:p>
      <w:pPr>
        <w:spacing w:after="0" w:line="189"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We maintain long-standing relationships with our customer base, which tend to repeatedly use our platform. This is reflected in our Contribution ex-TAC retention rate of 92% for the year ended December 31, 2025. While our Contribution ex-TAC per active customer increased in 2025, compared to 2024, our Contribution ex-TAC retention rate was impacted by our strategic decision to discontinue relationships with smaller customers that were not generating meaningful revenue or profitability for Nexxen to increase focus on supporting relationships with larger customers that have more sizable budgets to deploy. Advertising spend was also constrained to an extent due to cautious and uneven consumer spending, macroeconomic and industry uncertainty, evolving U.S. trade dynamics, ongoing geopolitical hostilities, tariffs, reduced political advertising spend, and reduced spending by one large DSP customer driven by their increased SPO efforts. Over time, we anticipate increasing our Contribution ex-TAC retention rate, supported by our ability to generate strong customer ROI through multiple integrated solutions spanning the entire digital advertising supply chain.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number of competitors that operate in portions of our business, but few provide the full end-to-end technology solution that we offer.</w:t>
      </w:r>
    </w:p>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long track record and expertise in the digital advertising industry, combined with our ability to operate technology and data solutions for both sides of the advertising ecosystem through a unified data- and AI-powered platform, gives us significant advantages in platform development and a long lead over new entrants. Our platform supports the entire campaign lifecycle, from planning and activation to optimization, measurement, and monetization, enabling advertisers and publishers to maximize ROI and efficiency. We compete primarily based on the campaign performance of our platform, the breadth and capabilities of our technology, identity resolution, omnichannel reach, planning and audience tools, proprietary datasets, AI features, and advanced reporting and measurement functionalities. On the demand side, companies such as Viant Technology, Inc. and The Trade Desk, Inc. are some of our key competitors.</w:t>
      </w:r>
    </w:p>
    <w:p>
      <w:pPr>
        <w:spacing w:after="0" w:line="190"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On the supply side, companies such as Magnite, Inc., FreeWheel Media, Inc., and PubMatic, Inc. are our main competitors, all of which compete to provide publisher inventory to advertisers.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competitive factors in our industry include:</w:t>
      </w:r>
    </w:p>
    <w:p>
      <w:pPr>
        <w:spacing w:after="0" w:line="25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robust, and differentiated self-service, managed-service, and hybrid offerings;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omnichannel execution;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and ease-of-use;</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scale, and reach of digital advertising demand and inventory globally;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first-party data and identity solutions;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breadth of relationships with brand advertisers, premium publishers, agencies, and data providers;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suite of viewability, measurement, verification, and brand safety offerings;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 account management;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data, media, and demand sources;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efficacy and the ability to drive performance and ROI;</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support customers across their workflows;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machine learning, and technology capabilities and innovation;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pricing;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w:t>
      </w:r>
    </w:p>
    <w:p>
      <w:pPr>
        <w:spacing w:after="0" w:line="2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with respect to all these factors and are well positioned as a full-service, end-to-end platform catering to both advertisers and digital publishers.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model enables us to invest in our research and development, which has been a key driver of our growth. Our platform is highly efficient at processing and managing large, complex data sets and is used in real-time by both advertisers and digital publishers. We are committed to innovative technologies and the rapid introduction of enhanced functionalities to meet the evolving needs of our customers. We therefore expect technology and development expenses to increase as we continue to invest in our platform, particularly through investments in AI, data, and machine learning, to support higher advertising spend volumes, attract new customers, differentiate our platform, and expand in the U.S. and internationally. Our technology and development teams are based in the United States and Israel. For December 31, 2025, research and development expenses accounted for 20.9% of our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As an end-to-end platform, we have highly qualified sales teams dedicated to acquiring new premium advertiser and publisher customers and expanding revenue relationships with existing customers. These teams focus on selling access to our platform through self-service, managed-service, and hybrid offerings. Our global sales and marketing team consisted of 502 employees (inclusive of all sales, marketing, and relevant support teams) as of December 31, 2025, and takes a proactive, hands-on approach to cultivating and enhancing advertiser, agency, and digital publisher relationships.</w:t>
      </w:r>
    </w:p>
    <w:p>
      <w:pPr>
        <w:spacing w:after="0" w:line="19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have dedicated teams focused on post-sale support to ensure customer success. Our client success team onboards advertisers and regularly liaises with them to optimize delivery against KPIs and help achieve their goals throughout the campaign lifecycle. Our publisher operations team onboards publishers and engages directly with them to support their needs and help effectively monetize inventory.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Culture</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As part of our track record of successfully integrating acquisitions and managing a global, multi-functional organization, we pride ourselves on bringing together teams across geographies, products, and functions under one cohesive culture. We strive daily to embody innovation, commitment, collaboration, and authenticity.</w:t>
      </w:r>
    </w:p>
    <w:p>
      <w:pPr>
        <w:spacing w:after="0" w:line="18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Our management team fosters a transparent culture, encouraging employees to share their feedback, ideas, and suggestions through an open-door policy and internal surveys that gauge satisfaction and gather input for continuous improvement. We communicate and build relationships with external stakeholders through our marketing efforts, including digital and social media, events, public relations, direct marketing, and online advertising. Our “People &amp; Culture” programs provide employees with volunteer opportunities in local communities, particularly focused on education and serving the underprivileged. We also regularly donate to volunteer associations.</w:t>
      </w:r>
    </w:p>
    <w:p>
      <w:pPr>
        <w:spacing w:after="0" w:line="186"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Our employees generally have long tenure across our entities, with an average tenure of approximately seven years for our leadership team and approximately five years across all employees.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attract talented employees to our company, and sophisticated customers to our platform, largely due to our vision and commitment to leveraging cutting-edge data, technology, and AI to create solutions that help advance the digital advertising industry.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909 employees globally.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protect the proprietary methods and technologies that we develop or otherwise acquire. We rely on a combination of patent, trademark, copyright, trade secret laws, confidentiality procedures and contractual provisions to protect our proprietary methods and technologies and own more than 50 patents in the United States. In 2024, we successfully rebranded our Company’s various businesses under the name “Nexxen” and associated Nexxen logo to further promote our unified service and product offerings. The Company has been working on this rebranding in its public-facing assets. The Company has obtained international trademark registration for these trademarks. The Company has obtained trademark registrations in Australia, the European Union, Israel, Mexico, Singapore, the United Kingdom, China, and the United States. The Company is actively prosecuting similar trademark applications in Canada and Japan. The Company also uses and actively protects other trademarks in various jurisdictions and holds trademark registrations for the Perk mark in the United States and the Perk logo in Australia, New Zealand, India, the European Union, United Kingdom, and WIPO.</w:t>
      </w:r>
    </w:p>
    <w:p>
      <w:pPr>
        <w:spacing w:after="0" w:line="190"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generally enter into confidentiality and/or license agreements with our employees, consultants, vendors and advertiser customers, and we generally limit access to, and distribution of, our proprietary information. We intend to pursue additional intellectual property protection to the extent we believe it would be beneficial and cost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Modern consumers use multiple platforms to learn about and purchase products and services, and consumers have come to expect a seamless experience across all channels. This challenges marketing organizations to balance the demands of consumers and the most effective advertising techniques with responsible, privacy-compliant methods of managing data internally and with advertising technology intermediaries.</w:t>
      </w:r>
    </w:p>
    <w:p>
      <w:pPr>
        <w:spacing w:after="0" w:line="18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the United States, both state and federal legislation govern activities such as the collection and use of data by companies that engage in digital advertising like us. Also, because our platform reaches users throughout the world, some of our activities may also be subject to foreign laws and regulations. As we continue to expand internationally, we will be subject to additional laws and regulations, and these requirements may affect how we conduct business.</w:t>
      </w:r>
    </w:p>
    <w:p>
      <w:pPr>
        <w:spacing w:after="0" w:line="199"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The U.S. Congress and state legislatures, along with federal regulatory authorities, have increased their attention on matters concerning the collection and use of personal data, including relating to internet-based advertising. Data privacy legislation has been introduced in the U.S. Congress, and several states, including California, Colorado, Connecticut, Utah, and Virginia have enacted comprehensive privacy legislation granting rights to consumers to enable increased control over the use of their data. These laws include a consumer’s ability to restrict use of their personal data for cross-context advertising purposes. Additional state legislatures have introduced data privacy legislation. Many non-U.S. jurisdictions have also enacted or are developing laws and regulations governing the collection and use of personal data. For example, the Israeli Privacy Protection Law, 5741-1981, has been amended, with amendments now in effect that extend its reach over Israeli residents as well as personal information of foreign residents transferred to Israel, each of which provide for potentially material penalties for non-compliance.</w:t>
      </w:r>
    </w:p>
    <w:p>
      <w:pPr>
        <w:spacing w:after="0" w:line="21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Additionally, U.S. and foreign governments have enacted or are considering enacting legislation that could significantly restrict our ability to collect, augment, analyze, use and share data collected through cookies and similar technologies, such as by regulating the level of consumer notice and consent required before a company can employ cookies or other electronic tools to track people online. In the United States, the FTC has commenced the examination of privacy issues that arise when marketers track consumers across multiple devices, otherwise known as cross-device tracking. In addition to the requirements relating to cookies or similar technologies described in the section “</w:t>
      </w:r>
      <w:r>
        <w:rPr>
          <w:rFonts w:ascii="Times New Roman" w:cs="Times New Roman" w:eastAsia="Times New Roman" w:hAnsi="Times New Roman"/>
          <w:sz w:val="18"/>
          <w:szCs w:val="18"/>
          <w:i w:val="1"/>
          <w:iCs w:val="1"/>
          <w:color w:val="auto"/>
        </w:rPr>
        <w:t>Risk Factors—Risks Relating to Legal or Regulatory Constraints—We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subject to laws and regulations related to data privacy, data protection, and information security, and consumer protection across different markets where we conduct our business, including in the United States, the EEA and the United Kingdom and industry requirements and such laws, regulations, and industry requirements are constantly evolving and changing. Our actual or perceived failure to comply with such laws and regulations could have an adverse effect on our business, results of operations and financial condition</w:t>
      </w:r>
      <w:r>
        <w:rPr>
          <w:rFonts w:ascii="Times New Roman" w:cs="Times New Roman" w:eastAsia="Times New Roman" w:hAnsi="Times New Roman"/>
          <w:sz w:val="18"/>
          <w:szCs w:val="18"/>
          <w:color w:val="auto"/>
        </w:rPr>
        <w:t>”, in the European Union and the United Kingdom, informed consent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for the placement of a cookie or similar technologies on a user’s device and for direct electronic marketing. The GDPR and UK GDPR also impose conditions for obtaining valid consent, such as a prohibition on pre-checked consents and a requirement to ensure separate consents are sought for each type of cookie or similar technology. Detailed guidance relating to these requirements has been published by the European Data Protection Board (and its predecessor, the Article 29 Working Party) as well as various supervisory authorities in the European Union and the United Kingdom. While not legally binding, such guidance reflects the position and understanding of the regulators and their approach to enforcement. Supervisory authorities in the European Union and the United Kingdom are increasingly focusing on the AdTech industry and its compliance with these requirements. Several high-profile investigations are currently underway, and a number of fines have been issued against businesses for their failure to, amongst other things, properly notify individuals of how their data is being used and to collect informed consent.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 w:name="page49"/>
    <w:bookmarkEnd w:id="48"/>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Additionally, our compliance with our privacy policy and our general consumer data privacy and security practices are subject to review by regulatory bodies such as the FTC, which may bring enforcement actions to challenge allegedly unfair and deceptive trade practices, including the violation of privacy policies and misrepresentations or material omissions therein.</w:t>
      </w:r>
    </w:p>
    <w:p>
      <w:pPr>
        <w:spacing w:after="0" w:line="182"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Certain State Attorneys General and state privacy regulators such as the California Privacy Protection Agency (“CPPA”) in the United States may also bring enforcement actions based on comparable state laws or federal laws that permit state-level enforcement. In California, for example, the Attorney General and the CPPA may bring enforcement actions for violations of the CCPA. When we receive bid requests that include an opt-out signal, we do not “sell” or “share” personal information, as defined by the CCPA. We have also adopted the Digital Advertising Alliance CCPA Compliance Framework, which includes a technical specification to identify consumer signals to opt-out of sale of their personal information and have signed the IAB Limited Service Provider Agreement that imposes service provider obligations for certain opted-out bid requests. These IAB frameworks are designed to facilitate compliance with the CCPA although the California Attorney General’s office has not yet approved such frameworks. The CCPA sets forth high potential liabilities for data privacy violations on a per-incident basis, and the industry faces an uncertain compliance burden as our partners and publishers work to become compliant with the law. Also, the amendments to the CPPA, which became effective on January 1, 2023, impose additional data protection obligations on in scope businesses, including additional consumer rights processes and opt-outs for certain uses of sensitive data and sharing of personal data.</w:t>
      </w:r>
    </w:p>
    <w:p>
      <w:pPr>
        <w:spacing w:after="0" w:line="195"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color w:val="auto"/>
        </w:rPr>
        <w:t>Since California enacted the CCPA, several states have enacted comprehensive consumer privacy laws including, but not limited to, the Colorado Privacy Act (effective July 1, 2023), the Connecticut Data Privacy Act (effective July 1, 2023), the Virginia Consumer Data Protection Act (effective January 1, 2023), and the Utah Consumer Privacy Act (effective December 31, 2023). We expect the trend of enacting new and comprehensive privacy legislation to continue not only in the United States but also around the globe.</w:t>
      </w:r>
    </w:p>
    <w:p>
      <w:pPr>
        <w:spacing w:after="0" w:line="18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In addition to consent and opt-out obligations under privacy and data protection laws, we face potential liability under the California Invasion of Privacy Act (“CIPA”). Plaintiffs have asserted that the use of third-party analytics, tracking technologies, cookies, and similar tools constitute “eavesdropping” or “wiretapping” under CIPA, even where such technologies are deployed to analyze consumer behavior or support advertising and marketing services. Because our platform processes data across publishers, advertisers, and consumer interactions using online tracking technologies to deliver targeted advertising, we may face CIPA claims. If CIPA claims are successfully asserted against us, we could incur material litigation costs, settlements or judgments, injunctive relief, reputational harm, and adverse impacts on our business operations.</w:t>
      </w:r>
    </w:p>
    <w:p>
      <w:pPr>
        <w:spacing w:after="0" w:line="188" w:lineRule="exact"/>
        <w:rPr>
          <w:sz w:val="20"/>
          <w:szCs w:val="20"/>
          <w:color w:val="auto"/>
        </w:rPr>
      </w:pPr>
    </w:p>
    <w:p>
      <w:pPr>
        <w:ind w:right="200" w:firstLine="324"/>
        <w:spacing w:after="0" w:line="329" w:lineRule="auto"/>
        <w:rPr>
          <w:sz w:val="20"/>
          <w:szCs w:val="20"/>
          <w:color w:val="auto"/>
        </w:rPr>
      </w:pPr>
      <w:r>
        <w:rPr>
          <w:rFonts w:ascii="Times New Roman" w:cs="Times New Roman" w:eastAsia="Times New Roman" w:hAnsi="Times New Roman"/>
          <w:sz w:val="17"/>
          <w:szCs w:val="17"/>
          <w:color w:val="auto"/>
        </w:rPr>
        <w:t>To protect against unlawful content (advertiser and publisher), we include restrictions on content in our terms and conditions. We also utilize various technologies and processes to review publisher properties and use third party software to screen impressions we acquire through advertising exchanges.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out details of the Company’s subsidiaries:</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440" w:type="dxa"/>
            <w:vAlign w:val="bottom"/>
            <w:vMerge w:val="restart"/>
          </w:tcPr>
          <w:p>
            <w:pPr>
              <w:ind w:left="3060"/>
              <w:spacing w:after="0"/>
              <w:rPr>
                <w:sz w:val="20"/>
                <w:szCs w:val="20"/>
                <w:color w:val="auto"/>
              </w:rPr>
            </w:pPr>
            <w:r>
              <w:rPr>
                <w:rFonts w:ascii="Times New Roman" w:cs="Times New Roman" w:eastAsia="Times New Roman" w:hAnsi="Times New Roman"/>
                <w:sz w:val="18"/>
                <w:szCs w:val="18"/>
                <w:color w:val="auto"/>
              </w:rPr>
              <w:t>Name of company</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Country of</w:t>
            </w:r>
          </w:p>
        </w:tc>
        <w:tc>
          <w:tcPr>
            <w:tcW w:w="22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Ownership Percentage</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220" w:type="dxa"/>
            <w:vAlign w:val="bottom"/>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Taptica Inc.</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YuMe Inc*</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Perk.com Canada Inc</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Nexxen Group LLC</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Group US Holdings Inc.*</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Nexxen Holdings Ltd*</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Group Ltd</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Nexxen Media Pte. Ltd. (f/k/a Unruly Media Pte. Ltd)</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Pty Ltd*</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Nexxen Media Japan K.K. (f/k/a Unruly Media K.K.)</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Video Distribution Sdn. Bhd. (f/k/a Unmedia Video Distribution Sdn. Bhd.)</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Nexxen CTRL GmbH (f/k/a SpearAd GmbH)</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Inc.*</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Amobee Ltd</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4312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these companies, there are eleven (11) wholly owned subsidiaries that are inactive, liquidated or in liquidation process.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PLANTS AND EQUIPMENT</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Our headquarters are located in Tel Aviv, Israel where we occupy facilities totaling approximately 26,910 square feet under a lease that expires in December 2028. In addition, we have key locations in New York, New York; Los Angeles, California; San Carlos, California; San Diego, California; San Francisco, California; Chicago, Illinois; Baltimore, Maryland; Burlington, Massachusetts; Dallas, Texas; and Bellevue, Washington in the United States, as well as international locations in Canada, the United Kingdom, Japan, Singapore, Australia, and Germany. These locations support our key business functions including sales and marketing, customer support, business development, engineering, product development, and infrastructure support. We believe that our current facilities are suitable to meet our existing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UNRESOLVED STAFF COMMENTS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54"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Item 4. “Information on the Company – 4B. Business Overview” and our audited consolidated financial statements and the related notes thereto appearing at the end of this Annual Report. We present our audited consolidated financial statements in USD and in accordance with International Financial Reporting Standards, or IFRS, as issued by the International Accounting Standards Board, or IASB.</w:t>
      </w:r>
    </w:p>
    <w:p>
      <w:pPr>
        <w:spacing w:after="0" w:line="182"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information regarding our financial condition and results of operations set forth under Item 5. “Operating and Financial Review and Prospects” in our Annual Report on Form 20-F for the fiscal year ended December 31, 2024, filed with the Securities and Exchange Commission on March 5, 2025, for an understanding of our operating results and liquidity discussions and analysis comparing fiscal year 2024 to fiscal year 2023.</w:t>
      </w:r>
    </w:p>
    <w:p>
      <w:pPr>
        <w:spacing w:after="0" w:line="182"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i w:val="1"/>
          <w:iCs w:val="1"/>
          <w:color w:val="auto"/>
        </w:rPr>
        <w:t>Some information included in this discussion and analysis, including statements regarding industry outlook, our expectations regarding our future performance, liquidity and capital resources and other statements regarding our plans and strategy for our business and related financing, are forward-looking statements. These forward-looking statements are subject to numerous risks and uncertainties. Please see “Special Note Regarding Forward-Looking Statements and Risk Factor Summary” in this Annual Report. You should read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90"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maintain our books in USD, which is the Company’s functional currency, and which have been rounded to the nearest thousands, except when otherwise indicated. The USD is the currency that represents the principal economic environment in which the Company operates, and we prepare our financial statements in accordance with IFRS as issued by the IASB.</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Nexxen is a global, flexible advertising technology platform with deep expertise in data and advanced TV that provides advertisers, agencies, digital publishers, broadcasters, and others with technology and data solutions to plan, buy, manage, sell, and measure advertising across the digital advertising supply chain. Our unified end-to-end platform, powered by data and artificial intelligence (“AI”), supports advertising workflows spanning planning, activation, optimization, monetization, and measurement across formats and devices, and is designed to drive full-funnel performance and efficiency for customers on both sides of the digital advertising ecosystem. While supporting digital advertising efforts across formats and devices, Nexxen maintains a particular focus on some of the industry’s fastest-growing segments, including Connected TV (“CTV”), Video, and data-driven solutions, supported by a global team of seasoned technologists and industry experts.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market opportunity within the approximately $792 billion global digital advertising market, which is expected to grow at a CAGR of approximately 10% through 2029, according to eMarketer. Publishers rely on advertising to support their businesses and brands, and advertisers use digital channels to reach targeted and measurable audiences to maximize effectiveness and returns. We believe the digital advertising market remains fragmented, and that our comprehensive end-to-end platform and data capabilities, along with our expertise in Video and CTV, positions Nexxen competitively to increase market share over time.</w:t>
      </w:r>
    </w:p>
    <w:p>
      <w:pPr>
        <w:spacing w:after="0" w:line="189"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We believe we are well positioned to benefit from several trends in the evolving advertising ecosystem, including: the continued proliferation of digital media consumption; growing adoption of programmatic advertising; increasing advertiser focus on premium formats such as Video and CTV; the shift of linear advertising budgets toward, and their convergence with, digital advertising budgets; the continued migration of live sports to digital environments, including CTV; increased advertiser reliance on data-driven tools and AI; and the increasing sophistication of the digital advertising landscape. We address the digital advertising market through three core proprietary offerings: a demand-side platform (“DSP”) that advertisers use to plan, activate, and manage digital advertising campaigns; a supply-side platform (“SSP”) that digital publishers use to monetize inventory; and the Nexxen Data Platform, which integrates directly with both our DSP and SSP to drive performance. Our Data Platform leverages large-scale data sets, advanced machine learning techniques, and AI to generate audience insights and campaign recommendations. By contextualizing and synthesizing this data, the platform is designed to provide advertisers with a more comprehensive and granular view of audiences across formats and devices, which can improve campaign effectiveness and returns on advertising investments, while also supporting the optimization of digital publisher inventory monetization. By combining these three proprietary solutions with integrations across industry-leading partners, we offer an end-to-end platform that is designed to be flexible and scalable to meet our customers’ needs, while enabling us to operate across a broad and growing range of digital advertising spend and verticals.</w:t>
      </w:r>
    </w:p>
    <w:p>
      <w:pPr>
        <w:spacing w:after="0" w:line="19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customers are largely comprised of both ad buyers, including brands and agencies, and digital publishers. Our platform serviced a diversified customer base of 627 active customers and 1,304 active publishers as of December 31, 2025, and served advertisements in approximately 180 countries. We generate revenue through platform fees based on either (i) a percentage of spend, (ii) flat fees or (iii) fixed CPMs (“cost per mille”) that are tailored to fit our customers’ specific utilization of our solutions.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the past several years, the advertising environment has been influenced by a combination of macroeconomic, geopolitical, and pandemic-related factors. In 2022 and 2023, advertisers faced challenges from rising inflation, higher interest rates, and ongoing uncertainty related to the residual effects of the COVID-19 pandemic, which in some cases led to reduced or delayed campaigns. In 2024, the industry benefitted from lower inflation, reduced interest rates, and the U.S. election cycle, contributing to stronger advertising activity, although geopolitical hostilities and broader macroeconomic uncertainty continued to impact advertiser budgets and spending to an extent. In 2025, the advertising environment remained generally positive, but growth was constrained by cautious and uneven consumer spending, macroeconomic and industry uncertainty, evolving U.S. and global trade dynamics, ongoing geopolitical hostilities, tariffs, reduced political advertising spend compared to 2024, and increased supply path optimization (“SPO”) efforts by larger DSPs within the industry.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On August 18, 2022, the Company completed a $25 million investment in V (formerly known as "VIDAA"), a smart TV operating system, streaming platform, and subsidiary of Hisense, receiving a minority equity stake in V. The Company also entered a commercial partnership with V through which it gained exclusive global access to utilize and share V’s automatic content recognition (“ACR”) data for CTV audience targeting and measurement, and ad monetization exclusivity on V media in the U.S., U.K., Canada and Australia, both through at least the end of 2026. In August 2025, the Company entered into an additional investment, and new commercial, agreement with V. Under the additional investment agreement, the Company is expected to complete a total investment of up to $35 million in exchange for newly issued V ordinary shares, to be made in two tranches. The first tranche, in the amount of approximately $20 million, was completed in August 2025. The second tranche, in the amount of approximately $15 million, is expected to be deployed in Q3 2026. Following the full deployment of the previously announced investment, the Company will have invested a total of $60 million in V, representing an equity stake of approximately 6% of V’s outstanding shares. Through the Company’s new commercial agreement, which went into effect on January 1, 2026, Nexxen extended its global ACR data exclusivity with V and gained ad monetization exclusivity on V’s North American video and native display media, both through at least the end of 2029.</w:t>
      </w:r>
    </w:p>
    <w:p>
      <w:pPr>
        <w:spacing w:after="0" w:line="2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has no principal long-term debt. At the beginning of 2025, the Company had a $90 million senior secured revolving credit facility (the “Revolving Credit Facility”). In May 2025, the Company announced an amendment to its Revolving Credit Facility, through which it reduced the capacity from $90 million to $50 million and extended its maturity to September 2027. The updated Revolving Credit Facility provides the Company with additional liquidity, which may be utilized for a variety of purposes (including future strategic investments and initiatives) alongside existing surplus cash resources.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Video revenue grew to $242.0 million for the year ended December 31, 2025, from $232.4 million for the year ended December 31, 2024, while CTV revenue fell to $109.4 million for the year ended December 31, 2025, from $113.8 million for the year ended December 31, 2024. Video revenue growth in 2025 was driven largely by strength in Desktop Video and partially offset by reduced CTV and Mobile video revenue. Video revenue growth, however, was constrained in the second half of the year, particularly Q4 2025, by several factors including reduced spending by one large DSP customer due to its increased SPO efforts in Q4 2025, more competitive CTV CPMs, the absence of elevated political advertising spend from the 2024 U.S. election cycle, and other headwinds including evolving U.S. trade dynamics, geopolitical hostilities, and tariffs, which impacted advertising spend to an extent from certain customers.</w:t>
      </w:r>
    </w:p>
    <w:p>
      <w:pPr>
        <w:spacing w:after="0" w:line="20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total comprehensive income for the year ended December 31, 2025, decreased to $27.9 million from $35.4 million for the year ended December 31, 2024, representing a decrease of 21.3%, or $7.5 million. Our Adjusted EBITDA for the year ended December 31, 2025, increased to $115.1 million, from $114.6 million for the year ended December 31, 2024, reflecting a year-over-year increase of 0.5%, or $0.6 million. Further, we had cash and cash equivalents of $133.3 million as of December 31, 2025, and no principal long-term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Nexxen is a global flexible advertising technology platform with deep expertise in data and advanced TV that provides advertisers, agencies, digital publishers, broadcasters, and others with technology and data solutions to plan, buy, manage, sell, and measure advertising across the digital advertising supply chain. Our unified end-to-end platform, powered by data and artificial intelligence (“AI”), supports advertising workflows spanning planning, activation, optimization, monetization, and measurement across formats and devices, and is designed to drive full-funnel performance and efficiency for customers on both sides of the digital advertising ecosystem. While supporting digital advertising efforts across formats and devices, Nexxen maintains a particular focus on some of the industry’s fastest-growing segments, including CTV, Video, and data-driven solutions, supported by a global team of seasoned technologists and industry experts.</w:t>
      </w:r>
    </w:p>
    <w:p>
      <w:pPr>
        <w:spacing w:after="0" w:line="203" w:lineRule="exact"/>
        <w:rPr>
          <w:sz w:val="20"/>
          <w:szCs w:val="20"/>
          <w:color w:val="auto"/>
        </w:rPr>
      </w:pPr>
    </w:p>
    <w:p>
      <w:pPr>
        <w:jc w:val="both"/>
        <w:ind w:firstLine="384"/>
        <w:spacing w:after="0" w:line="266" w:lineRule="auto"/>
        <w:rPr>
          <w:sz w:val="20"/>
          <w:szCs w:val="20"/>
          <w:color w:val="auto"/>
        </w:rPr>
      </w:pPr>
      <w:r>
        <w:rPr>
          <w:rFonts w:ascii="Times New Roman" w:cs="Times New Roman" w:eastAsia="Times New Roman" w:hAnsi="Times New Roman"/>
          <w:sz w:val="18"/>
          <w:szCs w:val="18"/>
          <w:color w:val="auto"/>
        </w:rPr>
        <w:t>Our end-to-end platform is a comprehensive software suite that supports a wide range of media types (such as Video, Smart TV native, audio, and display) and devices (including mobile devices, CTVs, streaming devices, and desktops), creating an efficient marketplace where advertisers can purchase high-quality advertising inventory from publishers at scale. Our solutions provide several advantages, including an advanced real-time bidding auction optimization engine, access to a global, high-quality marketplace, robust data and AI capabilities, and flexibility to execute concurrent campaign strategies designed to drive strong returns on digital advertising investments. When customers utilize our platform on an end-to-end basis, they often realize cost efficiencies, and enhanced returns on ad spend (“ROAS”).</w:t>
      </w:r>
    </w:p>
    <w:p>
      <w:pPr>
        <w:spacing w:after="0" w:line="190"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platform handles approximately 487 billion daily ad requests on average. Each ad request is processed in a fraction of a second (55ms on average) and powered by our real-time bidding engine, which leverages private servers and infrastructure in four strategically placed data centers located in the U.S., Europe, and Asia Pacific, as well as cloud resources.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color w:val="auto"/>
        </w:rPr>
        <w:t>Key Components of our platform include:</w:t>
      </w:r>
    </w:p>
    <w:p>
      <w:pPr>
        <w:spacing w:after="0" w:line="239" w:lineRule="exact"/>
        <w:rPr>
          <w:sz w:val="20"/>
          <w:szCs w:val="20"/>
          <w:color w:val="auto"/>
        </w:rPr>
      </w:pPr>
    </w:p>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Side Platform – We offer a self-service DSP solution that enables advertisers and agencies to efficiently plan, activate, and manage omnichannel campaigns, optimize toward improved performance and ROI, and gain deep insights into brand engagement. Our DSP provides extensive access to premium inventory, differentiated data for audience targeting, AI, planning capabilities across formats, incrementality testing solutions, and advanced reporting and measurement. We also offer full-service or hybrid buying models for advertisers and agencies to support a broad range of business needs.</w:t>
      </w:r>
    </w:p>
    <w:p>
      <w:pPr>
        <w:spacing w:after="0" w:line="196"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Platform – We offer a fully integrated data platform that sits at the core of our end-to-end offering and unlocks the value of data flowing through our DSP and SSP solutions. Our data platform, referred to as “Nexxen Data Platform,” enables advertisers and publishers to directly onboard, manage, plan, activate and measure, with data from multiple (and in some case exclusive) sources to optimize performance and ROI. Nexxen Data Platform delivers actionable insights and recommendations across geographic, behavioral, consumption, demographic, and other data dimensions within a unified solution. Our data platform supports direct data onboarding, audience targeting and segmentation, sentiment analysis, reach extension, identity resolution, optimization, and measurement, and is continually enhanced through AI and machine learning. We believe an integrated data platform that can support advertisers and digital publishers across the entire data supply chain is a critical component of our marketplace, as it enables more accurate audience targeting, improved campaign optimization, and consistent data activation across channels and formats.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Side Platform – We offer a self-service SSP solution that enables publishers to sell their digital advertising inventory through a real-time bidding auction across all screens, including across mobile devices, CTVs, streaming devices, and desktops. Our SSP provides publishers with access to robust data, differentiated demand sources, and a comprehensive product suite designed to support efficient and effective inventory management, yield optimization, deal management and revenue growth.</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 AI (“nexAI”) – We collect, synthesize, and analyze data across our platform using a combination of our comprehensive suite of AI-powered solutions (which we’ve branded as “nexAI”), machine learning, and deep learning technologies. These capabilities generate efficiency and actionable insights that inform bidding decisions, optimize campaign performance, and support forecasting of ad impression and auction dynamics. We believe these analytics and AI-driven capabilities enhance outcomes for both advertisers and publishers, and we expect to continue investing in these technologies to improve platform performance, efficiency, and scalability.</w:t>
      </w:r>
    </w:p>
    <w:p>
      <w:pPr>
        <w:spacing w:after="0" w:line="196"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Discovery – Nexxen Discovery is an audience insight and activation product, and key component of Nexxen Data Platform. It unifies data from cross-channel sources, including our proprietary TV viewership data, and leverages first-party data to build intelligent audience profiles that are utilized across planning and activation. Powered by AI and machine learning, Nexxen Discovery provides actionable audience insights, including around sentiment analysis, interest, and brand affinity, to help customers create targeted segments, extend reach, and optimize campaigns in real time. It integrates seamlessly with our DSP and SSP to support planning, activation, and measurement across channels and inventory.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Studio – Nexxen’s in-house digital creative studio provides a range of creative solutions tailored to the needs of brands and agencies. Our comprehensive pre-flight creative testing and audience based in-flight creative optimization capabilities are enhanced through AI and fully integrated with Nexxen’s flexible, unified platform to maximize campaign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operating results are influenced by several factors, including the following:</w:t>
      </w:r>
    </w:p>
    <w:p>
      <w:pPr>
        <w:spacing w:after="0" w:line="248"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Attract, Retain and Grow our Customer Base</w:t>
      </w:r>
      <w:r>
        <w:rPr>
          <w:rFonts w:ascii="Times New Roman" w:cs="Times New Roman" w:eastAsia="Times New Roman" w:hAnsi="Times New Roman"/>
          <w:sz w:val="18"/>
          <w:szCs w:val="18"/>
          <w:color w:val="auto"/>
        </w:rPr>
        <w:t>: Our growth in recent years has been driven by a combination of expanding existing advertiser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publisher customer usage and spending across our platform, including through greater multi-solution adoption, and adding new advertiser and publisher customers. As a result, our revenue growth depends significantly upon our ability to retain our existing advertiser and publisher customers and capture a larger amount of their advertising spend and budgets through our platform.</w:t>
      </w:r>
    </w:p>
    <w:p>
      <w:pPr>
        <w:spacing w:after="0" w:line="18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For the year ended December 31, 2025, we achieved gross profit per active customer (calculated as our gross profit for the period divided by our active customers for the period) of $412,901 and Contribution ex-TAC per active customer (calculated as our Contribution ex-TAC for the period divided by our active customers for the period) of $563,204. In comparison, for the year ended December 31, 2024, we achieved gross profit per active customer of $393,698 and Contribution ex-TAC per active customer of $526,035. The increases in 2025 were largely driven by increased spend consolidation and multi-solution adoption among enterprise customers. Our Contribution ex-TAC retention rate in 2025 fell to 92% compared to 102% in 2024 due largely to our strategic decision to discontinue relationships with smaller customers that were not generating meaningful revenue or profitability, to focus on supporting relationships with larger enterprise customers with more sizable budgets to deploy. We believe we are strongly positioned to increase our Contribution ex-TAC retention rate over the long-term through greater enterprise and multi-solution adoption across our end-to-end platform.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jc w:val="both"/>
        <w:ind w:firstLine="324"/>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Investment in Growth</w:t>
      </w:r>
      <w:r>
        <w:rPr>
          <w:rFonts w:ascii="Times New Roman" w:cs="Times New Roman" w:eastAsia="Times New Roman" w:hAnsi="Times New Roman"/>
          <w:sz w:val="18"/>
          <w:szCs w:val="18"/>
          <w:color w:val="auto"/>
        </w:rPr>
        <w:t>: We believe that the advertising market is in the early stages of a secular shift towards digital video advertising which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focused on for several years, and Digital Video advertising represented approximately 71% of our Programmatic revenue for the year ended December 31, 2025. We plan to invest in driving long-term growth by focusing on some of the key drivers of digital advertising growth; particularly Video and CTV. We anticipate our operating expenses will increase in the foreseeable future as we invest in platform operations, sales and marketing, and technology and development, to enhance our product functionalities, and ability to sell them, including through potential future acquisitions, deployment of more self-service and AI capabilities for both our advertiser and publisher customers, the expansion of our data relationships and data capabilities, and the addition of more ad format functionality across our platform. We believe these investments will contribute to our long-term growth, although it is uncertain whether these investments may impact our profitability in the near-term.</w:t>
      </w:r>
    </w:p>
    <w:p>
      <w:pPr>
        <w:spacing w:after="0" w:line="2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Growth of the Digital Video Advertising Market and Macroeconomic Factors</w:t>
      </w:r>
      <w:r>
        <w:rPr>
          <w:rFonts w:ascii="Times New Roman" w:cs="Times New Roman" w:eastAsia="Times New Roman" w:hAnsi="Times New Roman"/>
          <w:sz w:val="18"/>
          <w:szCs w:val="18"/>
          <w:color w:val="auto"/>
        </w:rPr>
        <w:t>: We expect to continue to benefit from overall adoption of digital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by both advertisers and publishers. Any material change in the growth rate of digital video advertising, or rates of adoption, could affect our performance. Recent trends have indicated that advertising spend is closely tied to advertisers’ financial performance and macroeconomic conditions either generally, or in one or more of the industries in which our advertisers operate, or our publishers focus. An economic downturn could adversely impact the digital advertising market and our operating results.</w:t>
      </w:r>
    </w:p>
    <w:p>
      <w:pPr>
        <w:spacing w:after="0" w:line="20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Our Video revenue grew to $242.0 million for the year ended December 31, 2025, from $232.4 million for the year ended December 31, 2024, while CTV revenue fell to $109.4 million for the year ended December 31, 2025, from $113.8 million for the year ended December 31, 2024. Video revenue growth in 2025 was driven largely by strength in Desktop Video and partially offset by reduced CTV and Mobile video revenue. Video revenue growth, however, was constrained by several factors impacting the business primarily in the second half of the year, particularly Q4 2025, including reduced spending by one large DSP customer due to its increased SPO efforts in Q4 2025, the absence of elevated political advertising spend from the 2024 U.S. election cycle, and other headwinds including evolving U.S. trade dynamics, geopolitical hostilities and tariffs which, to an extent, limited advertising spend from certain partners. It is possible some of the challenging conditions experienced by advertisers in 2025 could continue in 2026 which could potentially impact advertising conditions and Nexxen’s future revenue growth, see “</w:t>
      </w:r>
      <w:r>
        <w:rPr>
          <w:rFonts w:ascii="Times New Roman" w:cs="Times New Roman" w:eastAsia="Times New Roman" w:hAnsi="Times New Roman"/>
          <w:sz w:val="18"/>
          <w:szCs w:val="18"/>
          <w:i w:val="1"/>
          <w:iCs w:val="1"/>
          <w:color w:val="auto"/>
        </w:rPr>
        <w:t>Risk Factors—Our revenue and results of operations are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dependent on the overall demand for advertising. Factors that affect the amount of advertising spending, such as economic downturns, inflation, supply constraints, geopolitical issues, evolving U.S. and global trade dynamics (including tariffs), and pandemics, can make it difficult to predict our revenue and could adversely affect our business, results of operations and financial condition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Seasonality</w:t>
      </w:r>
      <w:r>
        <w:rPr>
          <w:rFonts w:ascii="Times New Roman" w:cs="Times New Roman" w:eastAsia="Times New Roman" w:hAnsi="Times New Roman"/>
          <w:sz w:val="18"/>
          <w:szCs w:val="18"/>
          <w:color w:val="auto"/>
        </w:rPr>
        <w:t>: In the advertising industry, companies commonly experience seasonal fluctuations in revenue. For example, many marketers allocate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portion of their budgets to the fourth quarter of the calendar year to coincide with increased holiday purchasing. Historically, the fourth quarter has reflected our highest level of advertising activity, while the first quarter of the calendar year has generally represented our lowest quarterly revenue due to seasonal factors. Historical seasonality may not be predictive of future results, given the potential for changes in consumer activity and advertising patterns as advertisers respond to emerging industry trends, dynamic macroeconomic conditions, global trade developments, political conditions, election cycles, major advertising events that do not occur on an annual basis, and ongoing geopolitical hostilities. Nevertheless, we expect our revenue to continue to fluctuate based on seasonal factors that affect the advertising industry as a whole.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section, we use the following terms:</w:t>
      </w:r>
    </w:p>
    <w:p>
      <w:pPr>
        <w:spacing w:after="0" w:line="237" w:lineRule="exact"/>
        <w:rPr>
          <w:sz w:val="20"/>
          <w:szCs w:val="20"/>
          <w:color w:val="auto"/>
        </w:rPr>
      </w:pPr>
    </w:p>
    <w:p>
      <w:pPr>
        <w:jc w:val="both"/>
        <w:ind w:right="20" w:firstLine="324"/>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Programmatic</w:t>
      </w:r>
      <w:r>
        <w:rPr>
          <w:rFonts w:ascii="Times New Roman" w:cs="Times New Roman" w:eastAsia="Times New Roman" w:hAnsi="Times New Roman"/>
          <w:sz w:val="18"/>
          <w:szCs w:val="18"/>
          <w:color w:val="auto"/>
        </w:rPr>
        <w:t>” refers to our core end-to-end programmatic advertising platform, which uses software and algorithms to match buyers and sellers of digital advertising in a technology-driven marketplace; transactions within our Programmatic business lines are executed in milliseconds.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4" w:name="page55"/>
    <w:bookmarkEnd w:id="54"/>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refers to our non-core, non-programmatic performance business lines consisting primarily of mobile-based solutions that help brands reach their users; revenue generated in our Performance business lines is contingent on the occurrence of performance-based metrics, such as app downloads and installations.</w:t>
      </w:r>
    </w:p>
    <w:p>
      <w:pPr>
        <w:spacing w:after="0" w:line="17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Our revenue is generated from transactions where we provide a platform for the purchase and sale of digital advertising inventory. Our end-to-end platform is a comprehensive software suite that supports a wide range of media types (such as Video, Smart TV native, audio, and display) across various devices (including mobiles, CTVs, streaming devices, and desktops), creating an efficient marketplace where advertisers (buyers) are able to purchase high quality advertising inventory from publishers (sellers) at scale.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through fees that we charge, based on customer type, to utilize our solutions and services and upon usage and delivery.</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Often, advertisers use our DSP solution in connection with access to our Data Platform for optimizing media buys from our SSP solution.</w:t>
      </w:r>
    </w:p>
    <w:p>
      <w:pPr>
        <w:spacing w:after="0" w:line="237"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r>
        <w:rPr>
          <w:rFonts w:ascii="Times New Roman" w:cs="Times New Roman" w:eastAsia="Times New Roman" w:hAnsi="Times New Roman"/>
          <w:sz w:val="18"/>
          <w:szCs w:val="18"/>
          <w:color w:val="auto"/>
        </w:rPr>
        <w:t>. Cost of revenue (exclusive of depreciation and amortization) primarily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hosting fees and data costs for both Programmatic and Performance (non-programmatic) activities, as well as media costs for Performance (non-programmatic) activities that are directly attributable to revenue generated by the Company and generally based on revenue share arrangements with audience and content partners.</w:t>
      </w:r>
    </w:p>
    <w:p>
      <w:pPr>
        <w:spacing w:after="0" w:line="182"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consist primarily of compensation and related costs for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the research and development of new and existing products and services. Where required, development expenditures are capitalized in accordance with the Company’s standard internal capitalized development policy in accordance with International Accounting Standard (“IAS”) 38. All research costs are expensed when incurred.</w:t>
      </w:r>
    </w:p>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Selling and marketing expenses consist primarily of compensation and related costs for personnel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service, sales and sales support functions, as well as advertising and promotional expenditures.</w:t>
      </w:r>
    </w:p>
    <w:p>
      <w:pPr>
        <w:spacing w:after="0" w:line="18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primarily consist of compensation and related costs for personnel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costs related to the Company’s facilities, and its finance, human resources, doubtful debts, and legal organizations, as well as fees for professional services. Professional services are principally comprised of external legal, information technology consulting and outsourcing services that are not directly related to our other operational expenses.</w:t>
      </w:r>
    </w:p>
    <w:p>
      <w:pPr>
        <w:spacing w:after="0" w:line="182" w:lineRule="exact"/>
        <w:rPr>
          <w:sz w:val="20"/>
          <w:szCs w:val="20"/>
          <w:color w:val="auto"/>
        </w:rPr>
      </w:pPr>
    </w:p>
    <w:p>
      <w:pPr>
        <w:jc w:val="both"/>
        <w:ind w:firstLine="324"/>
        <w:spacing w:after="0" w:line="300"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primarily consist of depreciation of fixed assets, amortization of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of right of use assets, and amortization on unfavorable contracts.</w:t>
      </w:r>
    </w:p>
    <w:p>
      <w:pPr>
        <w:spacing w:after="0" w:line="158" w:lineRule="exact"/>
        <w:rPr>
          <w:sz w:val="20"/>
          <w:szCs w:val="20"/>
          <w:color w:val="auto"/>
        </w:rPr>
      </w:pPr>
    </w:p>
    <w:p>
      <w:pPr>
        <w:jc w:val="both"/>
        <w:ind w:firstLine="324"/>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Other expenses, net. </w:t>
      </w:r>
      <w:r>
        <w:rPr>
          <w:rFonts w:ascii="Times New Roman" w:cs="Times New Roman" w:eastAsia="Times New Roman" w:hAnsi="Times New Roman"/>
          <w:sz w:val="18"/>
          <w:szCs w:val="18"/>
          <w:color w:val="auto"/>
        </w:rPr>
        <w:t>Other expenses, net includes losses and revaluation on sales of business units and remeasurement of net investment in a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Financing income primarily consists of foreign currency gains and interest income.</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expenses</w:t>
      </w:r>
      <w:r>
        <w:rPr>
          <w:rFonts w:ascii="Times New Roman" w:cs="Times New Roman" w:eastAsia="Times New Roman" w:hAnsi="Times New Roman"/>
          <w:sz w:val="18"/>
          <w:szCs w:val="18"/>
          <w:color w:val="auto"/>
        </w:rPr>
        <w:t>. Financing expenses primarily include exchange rate differences, interest expenses, and bank fees.</w:t>
      </w:r>
    </w:p>
    <w:p>
      <w:pPr>
        <w:spacing w:after="0" w:line="252"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Taxation consists primarily of income taxes related to the jurisdictions in which we conduct business. Our effective tax rate is affected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non-deductible expenses net of tax-exempt income, utilization of tax losses from prior years for which deferred taxes were not created, effect on deferred taxes at a rate different from the primary tax rate, effect of reduced tax rates on preferred loss or income, recognition of deferred taxes for tax losses and benefits from previous years for which deferred taxes were not created in the past, recognition in temporary differences for which deferred taxes are not recognized and foreign tax rate differential. As of December 31, 2025, we had tax loss carryforwards totaling $24.5 million (2024: $51.6 million) in operating loss, which will begin to expire in 2032; $256.6 million (2024: $265.9 million) in operating loss carryforwards, which can be utilized through 2074; and $29.5 million 2024: $29.5 million) in capital loss carry forwards from the U.S. Additionally, we had $25.0 million (2024: $27.8 million) in operating loss carry forwards, $0.5 million (2024: $2.8 million) in capital loss carryforwards from Israel; and $20.1 million (2024: $18.7 million) operating loss carryforwards from other international jurisdictions.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940" w:type="dxa"/>
            <w:vAlign w:val="bottom"/>
            <w:gridSpan w:val="9"/>
          </w:tcPr>
          <w:p>
            <w:pPr>
              <w:jc w:val="right"/>
              <w:ind w:righ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in U.S. dollars and as a percentage of revenue for the years indicated.</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24"/>
                <w:szCs w:val="24"/>
                <w:color w:val="auto"/>
              </w:rPr>
            </w:pPr>
          </w:p>
        </w:tc>
        <w:tc>
          <w:tcPr>
            <w:tcW w:w="250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1"/>
                <w:szCs w:val="21"/>
                <w:color w:val="auto"/>
              </w:rPr>
            </w:pPr>
          </w:p>
        </w:tc>
        <w:tc>
          <w:tcPr>
            <w:tcW w:w="25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(In</w:t>
            </w:r>
          </w:p>
        </w:tc>
        <w:tc>
          <w:tcPr>
            <w:tcW w:w="11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As a %</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(In</w:t>
            </w:r>
          </w:p>
        </w:tc>
        <w:tc>
          <w:tcPr>
            <w:tcW w:w="11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As a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of revenue</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of revenue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364,780</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365,477</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1"/>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shown separately</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54,979</w:t>
            </w: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61,020</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1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58,059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49,992</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122,975</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112,227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33,194</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41,237</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63,124</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32,449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8.9</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40,821</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11.2</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(7,010)</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8,946</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 (income), net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(4,810)</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taxes on income</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37,259</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38,532</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12,216</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25,043</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35,437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27,867</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405"/>
        </w:trPr>
        <w:tc>
          <w:tcPr>
            <w:tcW w:w="5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9"/>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2"/>
                <w:szCs w:val="22"/>
                <w:color w:val="auto"/>
              </w:rPr>
            </w:pPr>
          </w:p>
        </w:tc>
        <w:tc>
          <w:tcPr>
            <w:tcW w:w="13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94"/>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29"/>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9"/>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364,780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365,477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decreased by $0.7 million, or 0.2%, to $364.8 million for the year ended December 31, 2025, from $365.5 million for the year ended December 31, 2024. The decrease was driven by a 41.1% decline in gross Performance (non-programmatic) revenue, largely offset by a 5.0% increase in programmatic revenue. Performance (non-programmatic) revenue weakness was attributable to our diminishing focus on our non-core, non-programmatic business line amid our efforts to accelerate programmatic revenue growth, which we view as our core business. Programmatic revenue growth was driven by strength across Desktop Video and data products but constrained by several factors that impacted the business in the second half of the year, particularly in Q4 2025. These factors included macroeconomic uncertainty, more competitive CPMs, spend reductions by certain customers driven by evolving U.S. trade dynamics and tariffs, the absence of political advertising spend compared to 2024, and a significant reduction in spending by one DSP customer within the Company’s open marketplace (“OMP”) channel as part of that customer’s SPO initiatives.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7"/>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9"/>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2"/>
                <w:szCs w:val="22"/>
                <w:color w:val="auto"/>
              </w:rPr>
            </w:pPr>
          </w:p>
        </w:tc>
        <w:tc>
          <w:tcPr>
            <w:tcW w:w="13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94"/>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29"/>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9"/>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61,020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(6,041)</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93" w:lineRule="exact"/>
        <w:rPr>
          <w:sz w:val="20"/>
          <w:szCs w:val="20"/>
          <w:color w:val="auto"/>
        </w:rPr>
      </w:pPr>
    </w:p>
    <w:p>
      <w:pPr>
        <w:jc w:val="both"/>
        <w:ind w:firstLine="381"/>
        <w:spacing w:after="0" w:line="27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decreased by $6.0 million, or 9.9%, to $55.0 million for the year ended December 31, 2025, from $61.0 million for the year ended December 31, 2024. The decrease was driven primarily by a $10.4 million decrease in Performance (non-programmatic) costs, consistent with the corresponding decline in Performance (non-programmatic) revenue, partially offset by a $4.3 million increase related to efforts necessary to expand the Company’s data capabilities and capacity as part of a strategic partnership.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2"/>
                <w:szCs w:val="22"/>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94"/>
        </w:trPr>
        <w:tc>
          <w:tcPr>
            <w:tcW w:w="59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9"/>
        </w:trPr>
        <w:tc>
          <w:tcPr>
            <w:tcW w:w="598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49,992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8,067</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r>
    </w:tbl>
    <w:p>
      <w:pPr>
        <w:spacing w:after="0" w:line="19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Research and development expenses increased by $8.1 million, or 16.1%, to $58.1 million for the year ended December 31, 2025, from $50.0 million for the year ended December 31, 2024. The increase was primarily driven by a $9.3 million increase in salaries and wages, reflecting higher headcount associated with AI-centric product investments focused on enhancing the Nexxen Data Platform and Discovery tool, alongside a $2.2 million increase in share-based compensation. These increases were partially offset by a $2.0 million increase in capitalized product innovation costs, and a $1.5 million decrease from the elimination of an external product service consultant relationship from 2024 after bringing expertise in-house.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13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10,748</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Selling and marketing expenses increased by $10.8 million, or 9.6%, to $123.0 million for the year ended December 31, 2025, from $112.2 million for the year ended December 31, 2024. The increase was attributable to a $4.6 million increase related to strategic consulting services focused on brand optimization and data and dashboard analytics capabilities, a $3.4 million increase in share-based compensation, and a $2.7 million increase in salaries and wages.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13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9"/>
                <w:szCs w:val="19"/>
                <w:color w:val="auto"/>
              </w:rPr>
            </w:pPr>
          </w:p>
        </w:tc>
        <w:tc>
          <w:tcPr>
            <w:tcW w:w="8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41,237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(8,043)</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General and administrative expenses decreased by $8.0 million, or 19.5%, to $33.2 million for the year ended December 31, 2025, from $41.2 million for the year ended December 31, 2024. The decrease was primarily driven by a $9.2 million reduction in doubtful debt expenses due to improved collections, a $1.6 million decrease in expenses following the Company’s 2025 Trading Structure Changes, and a $0.8 million decrease in legal expenses. These decreases were partially offset by a $2.0 million increase in salaries and wages, a $0.5 million increase in rent expenses, and a $1.0 million increase in share-based compensation.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13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4,448</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by $4.5 million, or 7.6%, to $63.1 million for the year ended December 31, 2025, from $58.7 million for the year ended December 31, 2024. The increase was primarily driven by a $6.6 million increase related to the reassessment of the useful life of an unfavorable contract following changes in commercial circumstances and market terms in 2024, a $3.8 million increase in amortization of internally developed software, and a $1.2 million increase in depreciation on lease agreements. These increases were partially offset by a $6.4 million decrease in customer relationship amortization and a $0.9 million decrease in server depreciation.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13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70"/>
        <w:spacing w:after="0" w:line="274" w:lineRule="auto"/>
        <w:rPr>
          <w:sz w:val="20"/>
          <w:szCs w:val="20"/>
          <w:color w:val="auto"/>
        </w:rPr>
      </w:pPr>
      <w:r>
        <w:rPr>
          <w:rFonts w:ascii="Times New Roman" w:cs="Times New Roman" w:eastAsia="Times New Roman" w:hAnsi="Times New Roman"/>
          <w:sz w:val="18"/>
          <w:szCs w:val="18"/>
          <w:color w:val="auto"/>
        </w:rPr>
        <w:t>Other expenses, net decreased by $1.5 million, or 100.0%, to $0.0 million for the year ended December 31, 2025, from $1.5 million for the year ended December 31, 2024. The decrease was due to a $1.5 million expense recorded in 2024 related to the remeasurement of the Company’s net investment in a finance lease, with no comparable expense in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expenses, net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7"/>
        </w:trPr>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9"/>
        </w:trPr>
        <w:tc>
          <w:tcPr>
            <w:tcW w:w="5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2"/>
                <w:szCs w:val="22"/>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94"/>
        </w:trPr>
        <w:tc>
          <w:tcPr>
            <w:tcW w:w="5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29"/>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(In</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9"/>
        </w:trPr>
        <w:tc>
          <w:tcPr>
            <w:tcW w:w="5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2"/>
                <w:szCs w:val="22"/>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8,946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(6,746)</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expenses (income),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2,289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(7,099)</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(310.1)%</w:t>
            </w:r>
          </w:p>
        </w:tc>
      </w:tr>
    </w:tbl>
    <w:p>
      <w:pPr>
        <w:spacing w:after="0" w:line="189" w:lineRule="exact"/>
        <w:rPr>
          <w:sz w:val="20"/>
          <w:szCs w:val="20"/>
          <w:color w:val="auto"/>
        </w:rPr>
      </w:pPr>
    </w:p>
    <w:p>
      <w:pPr>
        <w:jc w:val="both"/>
        <w:ind w:firstLine="389"/>
        <w:spacing w:after="0" w:line="270" w:lineRule="auto"/>
        <w:rPr>
          <w:sz w:val="20"/>
          <w:szCs w:val="20"/>
          <w:color w:val="auto"/>
        </w:rPr>
      </w:pPr>
      <w:r>
        <w:rPr>
          <w:rFonts w:ascii="Times New Roman" w:cs="Times New Roman" w:eastAsia="Times New Roman" w:hAnsi="Times New Roman"/>
          <w:sz w:val="18"/>
          <w:szCs w:val="18"/>
          <w:color w:val="auto"/>
        </w:rPr>
        <w:t>Net financial expenses (income) decreased by $7.1 million, or 310.1%, to $4.8 million income for the year ended December 31, 2025, from $2.3 million expense for the year ended December 31, 2024. The decrease was primarily driven by a $3.3 million reduction related to foreign currency exchange rate fluctuations, a $3.0 million decrease in interest expenses following the 2024 repayment of the loan associated with the acquisition of Amobee, a $1.8 million benefit related to interest and linkage for prior years’ tax prepayments, and a $1.1 million hedging income. These decreases were partially offset by a $2.2 million decline in interest income on cash and cash equivalents.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Tax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24"/>
                <w:szCs w:val="24"/>
                <w:color w:val="auto"/>
              </w:rPr>
            </w:pPr>
          </w:p>
        </w:tc>
        <w:tc>
          <w:tcPr>
            <w:tcW w:w="13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9"/>
                <w:szCs w:val="19"/>
                <w:color w:val="auto"/>
              </w:rPr>
            </w:pP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9,121</w:t>
            </w:r>
          </w:p>
        </w:tc>
        <w:tc>
          <w:tcPr>
            <w:tcW w:w="3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Tax expenses increased by $9.1 million, or 294.7%, to $12.2 million for the year ended December 31, 2025 from $3.1 million for the year ended December 31, 2024. The difference between the effective tax rate in 2025 of 33% and the Israeli corporate tax rate of 23% primarily reflects the impact of taxes in foreign and state jurisdictions, non-deductible expenses, and temporary differences for exchange rate differences for which deferred taxes were not recognized. These impacts were partially offset by a utilization and recognition of losses and benefits from previous years for which deferred taxes were not created in the past, as well as differences between the measurement basis for tax purposes and financial reporting purposes (mainly related to share based compensation and research and development tax credits).</w:t>
      </w:r>
    </w:p>
    <w:p>
      <w:pPr>
        <w:spacing w:after="0" w:line="20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difference between the effective tax rate in 2024 of 8% and the Israeli corporate tax rate of 23% primarily reflects the impact of taxes in foreign and state jurisdictions, differences between the measurement basis for tax purposes and financial reporting purposes (mainly related to share based compensation and research and development tax credits), temporary differences for depreciation income for which deferred taxes were not recognized and U.S. research and development tax credits from previous years. These impacts were partially offset by an assessment received in 2025 from the Israeli tax authorities for the tax years up to and including the year ended December 31, 2024, as well as non-deductible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comprehensive income for the year</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24"/>
                <w:szCs w:val="24"/>
                <w:color w:val="auto"/>
              </w:rPr>
            </w:pPr>
          </w:p>
        </w:tc>
        <w:tc>
          <w:tcPr>
            <w:tcW w:w="13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(In</w:t>
            </w: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(In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22"/>
                <w:szCs w:val="22"/>
                <w:color w:val="auto"/>
              </w:rPr>
            </w:pPr>
          </w:p>
        </w:tc>
        <w:tc>
          <w:tcPr>
            <w:tcW w:w="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percentages)</w:t>
            </w: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for the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35,402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(7,535)</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margin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comprehensive income decreased by $7.5 million, or 21.3%, to $27.9 million for the year ended December 31, 2025, from $35.4 million for the year ended December 31, 2024. The decrease was largely attributable to a $10.4 million decline in annual profit, partially offset by a $2.8 million fluctuation in foreign currency translation differences for foreign operations. Total comprehensive income margin decreased to 7.6% for the year ended December 31, 2025, from 9.7% for the year ended December 31, 2024. The margin decrease was driven primarily by a 294.7% increase in tax expenses offset by a 310.1% increase in financial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Other Operating Metrics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 In this section, we use the following terms:</w:t>
      </w:r>
    </w:p>
    <w:p>
      <w:pPr>
        <w:spacing w:after="0" w:line="19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Programmatic</w:t>
      </w:r>
      <w:r>
        <w:rPr>
          <w:rFonts w:ascii="Times New Roman" w:cs="Times New Roman" w:eastAsia="Times New Roman" w:hAnsi="Times New Roman"/>
          <w:sz w:val="18"/>
          <w:szCs w:val="18"/>
          <w:color w:val="auto"/>
        </w:rPr>
        <w:t>” refers to revenue generated from our end-to-end programmatic advertising platform, which uses software and algorithms to match buyers and sellers of digital advertising in a technology-driven marketplace. Transactions in our Programmatic business lines are executed in milliseconds.</w:t>
      </w:r>
    </w:p>
    <w:p>
      <w:pPr>
        <w:spacing w:after="0" w:line="172" w:lineRule="exact"/>
        <w:rPr>
          <w:sz w:val="20"/>
          <w:szCs w:val="20"/>
          <w:color w:val="auto"/>
        </w:rPr>
      </w:pPr>
    </w:p>
    <w:p>
      <w:pPr>
        <w:jc w:val="both"/>
        <w:ind w:firstLine="382"/>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refers to revenue generated from our non-core, non-programmatic performance business lines consisting primarily of mobile-based solutions that help brands reach their users. Revenue generated in our Performance (non-programmatic) business lines is contingent on the occurrence of performance-based metrics, such as app downloads and installations.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key performance indicators that we use to evaluate our business for the years presented.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Programmatic and Performance (Non-Programmatic) Revenue by Media Type and Device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Programmatic and Performance (non-programmatic) revenue by selected media type and device for the years ended December 31, 2025 and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Yearly revenue matrix</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2025 Revenue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2024 Revenue</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Programmatic</w:t>
            </w:r>
          </w:p>
        </w:tc>
        <w:tc>
          <w:tcPr>
            <w:tcW w:w="80" w:type="dxa"/>
            <w:vAlign w:val="bottom"/>
          </w:tcPr>
          <w:p>
            <w:pPr>
              <w:spacing w:after="0"/>
              <w:rPr>
                <w:sz w:val="18"/>
                <w:szCs w:val="18"/>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Programmatic</w:t>
            </w:r>
          </w:p>
        </w:tc>
        <w:tc>
          <w:tcPr>
            <w:tcW w:w="6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80" w:type="dxa"/>
            <w:vAlign w:val="bottom"/>
          </w:tcPr>
          <w:p>
            <w:pPr>
              <w:spacing w:after="0"/>
              <w:rPr>
                <w:sz w:val="18"/>
                <w:szCs w:val="18"/>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except percentages)</w:t>
            </w:r>
          </w:p>
        </w:tc>
        <w:tc>
          <w:tcPr>
            <w:tcW w:w="13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242,040</w:t>
            </w:r>
          </w:p>
        </w:tc>
        <w:tc>
          <w:tcPr>
            <w:tcW w:w="2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CTV</w:t>
            </w:r>
            <w:r>
              <w:rPr>
                <w:rFonts w:ascii="Times New Roman" w:cs="Times New Roman" w:eastAsia="Times New Roman" w:hAnsi="Times New Roman"/>
                <w:sz w:val="13"/>
                <w:szCs w:val="13"/>
                <w:color w:val="auto"/>
              </w:rPr>
              <w:t>(1)</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Mobile</w:t>
            </w:r>
            <w:r>
              <w:rPr>
                <w:rFonts w:ascii="Times New Roman" w:cs="Times New Roman" w:eastAsia="Times New Roman" w:hAnsi="Times New Roman"/>
                <w:sz w:val="26"/>
                <w:szCs w:val="26"/>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2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Desktop</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Display</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74,771</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98,924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79,057</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120,068</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23,816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13,038</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13,038</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Group</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340,627</w:t>
            </w:r>
          </w:p>
        </w:tc>
        <w:tc>
          <w:tcPr>
            <w:tcW w:w="20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364,780</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324,466</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41,011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365,477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14312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total Video revenue.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 2025 includes revenue generated from ATV, data products, audio and technology licensing. Growth in “Other” revenue in 2025 was driven primarily by increased revenue from data products and technology licensing.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Selected Device – CTV</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7"/>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1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9"/>
        </w:trPr>
        <w:tc>
          <w:tcPr>
            <w:tcW w:w="7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2"/>
                <w:szCs w:val="22"/>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2"/>
                <w:szCs w:val="22"/>
                <w:color w:val="auto"/>
              </w:rPr>
            </w:pPr>
          </w:p>
        </w:tc>
      </w:tr>
      <w:tr>
        <w:trPr>
          <w:trHeight w:val="23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 thousands)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113,752</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 of Programmatic revenue</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CTV revenue decreased by $4.3 million, or 3.8%, to $109.4 million for the year ended December 31, 2025, from $113.8 million for the year ended December 31, 2024. CTV was impacted by a variety of factors observed primarily in the second half of the year, particularly Q4 2025. Those factors included macroeconomic uncertainty, more competitive CTV CPMs, CTV advertising spend reductions by certain customers due to evolving U.S. trade dynamics and tariffs, the absence of political CTV advertising spend compared to 2024, and a significant reduction in CTV advertising spend by one DSP customer within our OMP channel, driven by that customer’s SPO initiatives. We believe we remain well-positioned to grow CTV revenue over time due to our robust CTV-centric technology capabilities and differentiated CTV data and media assets, alongside growing industry adoption of programmatic CTV advertising.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Selected Media Type – Video</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19"/>
                <w:szCs w:val="19"/>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 thousands)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232,371</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 of Programmatic revenue</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Video revenue increased to $242.0 million for the year ended December 31, 2025, from $232.4 million for the year ended December 31, 2024. The increase was driven by growth in Desktop Video revenue, partially offset by declines in Mobile Video and CTV revenue. While overall Video revenue increased year-over-year in 2025, growth was constrained by several factors observed primarily in the second half of the year, particularly Q4 2025. Those factors included macroeconomic uncertainty, more competitive CPMs, advertising spend reductions by certain customers related to evolving U.S. trade dynamics and tariffs, the absence of political advertising spend compared to 2024, and a significant reduction in advertising spend by one DSP customer within our OMP channel, driven by that customer’s SPO initiatives. We believe we remain well-positioned to grow Video revenue over time due to our strategic focus on the format, robust Video-centric technology and data capabilities, and growing adoption of programmatic Video advertising.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Key Financial Metrics</w:t>
            </w:r>
          </w:p>
        </w:tc>
        <w:tc>
          <w:tcPr>
            <w:tcW w:w="160" w:type="dxa"/>
            <w:vAlign w:val="bottom"/>
          </w:tcPr>
          <w:p>
            <w:pPr>
              <w:spacing w:after="0"/>
              <w:rPr>
                <w:sz w:val="22"/>
                <w:szCs w:val="22"/>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measures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Revenue (in thousands)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364,780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365,477</w:t>
            </w:r>
          </w:p>
        </w:tc>
      </w:tr>
      <w:tr>
        <w:trPr>
          <w:trHeight w:val="229"/>
        </w:trPr>
        <w:tc>
          <w:tcPr>
            <w:tcW w:w="86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Gross profit (in thousands)</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258,889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257,085</w:t>
            </w: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27,867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35,402</w:t>
            </w: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margin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Non-IFRS measures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86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Contribution ex-TAC (in thousands)</w:t>
            </w:r>
            <w:r>
              <w:rPr>
                <w:rFonts w:ascii="Times New Roman" w:cs="Times New Roman" w:eastAsia="Times New Roman" w:hAnsi="Times New Roman"/>
                <w:sz w:val="26"/>
                <w:szCs w:val="26"/>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353,129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343,501</w:t>
            </w:r>
          </w:p>
        </w:tc>
      </w:tr>
      <w:tr>
        <w:trPr>
          <w:trHeight w:val="230"/>
        </w:trPr>
        <w:tc>
          <w:tcPr>
            <w:tcW w:w="86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Adjusted EBITDA (in thousands)</w:t>
            </w:r>
            <w:r>
              <w:rPr>
                <w:rFonts w:ascii="Times New Roman" w:cs="Times New Roman" w:eastAsia="Times New Roman" w:hAnsi="Times New Roman"/>
                <w:sz w:val="26"/>
                <w:szCs w:val="26"/>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115,141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114,555</w:t>
            </w:r>
          </w:p>
        </w:tc>
      </w:tr>
      <w:tr>
        <w:trPr>
          <w:trHeight w:val="229"/>
        </w:trPr>
        <w:tc>
          <w:tcPr>
            <w:tcW w:w="86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6"/>
                <w:szCs w:val="26"/>
                <w:color w:val="auto"/>
                <w:vertAlign w:val="superscript"/>
              </w:rPr>
              <w:t>(3)</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4312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defined as total revenue for the year adjusted for cost of revenues (exclusive of depreciation and amortization) and depreciation and amortization attributable to cost of revenue.</w:t>
      </w:r>
    </w:p>
    <w:p>
      <w:pPr>
        <w:spacing w:after="0" w:line="175" w:lineRule="exact"/>
        <w:rPr>
          <w:rFonts w:ascii="Times New Roman" w:cs="Times New Roman" w:eastAsia="Times New Roman" w:hAnsi="Times New Roman"/>
          <w:sz w:val="18"/>
          <w:szCs w:val="18"/>
          <w:color w:val="auto"/>
        </w:rPr>
      </w:pPr>
    </w:p>
    <w:p>
      <w:pPr>
        <w:ind w:left="4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a supplemental measure of our financial performance that is not required by, or presented in the financial statements, and should not be viewed in isolation.</w:t>
      </w:r>
    </w:p>
    <w:p>
      <w:pPr>
        <w:spacing w:after="0" w:line="162"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is defined as our gross profit plus depreciation and amortization attributable to cost of revenue and cost of revenue (exclusive of depreciation and amortization) minus Performance (non-programmatic) media costs (as defined below) (“traffic acquisition costs” or “TAC”), as we arrange the transfer of such costs from the supplier to the customer through the use of our platform and do not control such features prior to the customer transfer.</w:t>
      </w:r>
    </w:p>
    <w:p>
      <w:pPr>
        <w:spacing w:after="0" w:line="193" w:lineRule="exact"/>
        <w:rPr>
          <w:rFonts w:ascii="Times New Roman" w:cs="Times New Roman" w:eastAsia="Times New Roman" w:hAnsi="Times New Roman"/>
          <w:sz w:val="18"/>
          <w:szCs w:val="18"/>
          <w:color w:val="auto"/>
        </w:rPr>
      </w:pPr>
    </w:p>
    <w:p>
      <w:pPr>
        <w:jc w:val="both"/>
        <w:ind w:lef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include Contribution ex-TAC in this Annual Report because we believe it is a useful measure in assessing the performance of Nexxen because it facilitates a consistent comparison against our core business without considering the impact of traffic acquisition costs related to revenue reported on a gross basis.</w:t>
      </w:r>
    </w:p>
    <w:p>
      <w:pPr>
        <w:spacing w:after="0" w:line="202"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total comprehensive income for the year adjusted for foreign currency translation differences for foreign operations, financial expenses (income), net, tax expenses, depreciation and amortization, stock-based compensation expenses, delisting related one-time costs and other expenses, net. Adjusted EBITDA margin is defined as Adjusted EBITDA as a percentage of revenue in this Annual Report.</w:t>
      </w:r>
    </w:p>
    <w:p>
      <w:pPr>
        <w:spacing w:after="0" w:line="175" w:lineRule="exact"/>
        <w:rPr>
          <w:rFonts w:ascii="Times New Roman" w:cs="Times New Roman" w:eastAsia="Times New Roman" w:hAnsi="Times New Roman"/>
          <w:sz w:val="18"/>
          <w:szCs w:val="18"/>
          <w:color w:val="auto"/>
        </w:rPr>
      </w:pPr>
    </w:p>
    <w:p>
      <w:pPr>
        <w:jc w:val="both"/>
        <w:ind w:left="4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non-IFRS financial metric. Adjusted EBITDA is included in this Annual Report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color w:val="auto"/>
        </w:rPr>
        <w:t>The following table reconciles Contribution ex-TAC to the most directly comparable IFRS financial performance measure, which is gross profit: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364,780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365,477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(54,979)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(61,020)</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attributable to cost of revenue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(47,372)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258,889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257,085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attributable to cost of revenue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47,372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61,020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media cost (a)</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(11,651)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(21,976)</w:t>
            </w: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353,129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343,501</w:t>
            </w:r>
          </w:p>
        </w:tc>
      </w:tr>
    </w:tbl>
    <w:p>
      <w:pPr>
        <w:spacing w:after="0" w:line="202" w:lineRule="exact"/>
        <w:rPr>
          <w:sz w:val="20"/>
          <w:szCs w:val="20"/>
          <w:color w:val="auto"/>
        </w:rPr>
      </w:pPr>
    </w:p>
    <w:p>
      <w:pPr>
        <w:ind w:left="460" w:right="2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costs of purchases of impressions from publishers on a cost per thousand impression basis in our Performance (non-programmatic) business lines.</w:t>
      </w:r>
    </w:p>
    <w:p>
      <w:pPr>
        <w:spacing w:after="0" w:line="16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following table reconciles Adjusted EBITDA to the most directly comparable IFRS financial performance measure, which is total comprehensive income for the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expenses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3,095</w:t>
            </w:r>
          </w:p>
        </w:tc>
      </w:tr>
      <w:tr>
        <w:trPr>
          <w:trHeight w:val="23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2,289</w:t>
            </w:r>
          </w:p>
        </w:tc>
      </w:tr>
      <w:tr>
        <w:trPr>
          <w:trHeight w:val="22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63,124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58,676</w:t>
            </w:r>
          </w:p>
        </w:tc>
      </w:tr>
      <w:tr>
        <w:trPr>
          <w:trHeight w:val="23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11,460</w:t>
            </w:r>
          </w:p>
        </w:tc>
      </w:tr>
      <w:tr>
        <w:trPr>
          <w:trHeight w:val="229"/>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r>
      <w:tr>
        <w:trPr>
          <w:trHeight w:val="23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2,094</w:t>
            </w:r>
          </w:p>
        </w:tc>
      </w:tr>
      <w:tr>
        <w:trPr>
          <w:trHeight w:val="230"/>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115,141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114,555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ex-TAC</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Contribution ex-TAC increased by 2.8% to $353.1 million for the year ended December 31, 2025, from $343.5 million for the year ended December 31, 2024. Growth was driven by a 5.0% increase in Programmatic revenue, partially offset by a 34.3% decline in net Performance (non-programmatic) revenue. The Contribution ex-TAC increase was driven by strength in our programmatic business lines, fueled by increased self-service, and multi-solution, enterprise customer adoption and platform utilization, alongside Desktop Video revenue growth, and increased tech licensing and data products revenue. The increase was partially offset by several factors which impacted the business in 2025, primarily in the second half of the year, and particularly in Q4 2025. Those factors included macroeconomic uncertainty, more competitive CPMs, advertising spend reductions by certain customers related to evolving U.S. trade dynamics and tariffs, the absence of political advertising spend compared to 2024 (approximately $10 million), and a significant reduction in advertising spend by one DSP customer within our OMP channel, driven by that customer’s SPO initiatives.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Adjusted EBITDA increased modestly by $0.6 million from $114.6 million for the year ended December 31, 2024, to $115.1 million for the year ended December 31, 2025. The increase was driven by a $7.1 million improvement in net financial income (following a net financial expense in 2024), $1.5 million decrease in other expenses, net, and a $0.6 million decrease in delisting-related one-time costs, largely offset by a $7.5 million decrease in total comprehensive income, $9.1 million increase in tax expenses, $2.9 million impact from foreign currency translation differences for foreign operations, $4.4 million increase in depreciation and amortization and $6.6 million increase in stock-based compensation expenses.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Operating Metrics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8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Active customers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9"/>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active customers(1)</w:t>
            </w:r>
          </w:p>
        </w:tc>
        <w:tc>
          <w:tcPr>
            <w:tcW w:w="1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 per active customer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 ex-TAC retention rate(2)</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Active publishers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0"/>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active publishers(3)</w:t>
            </w:r>
          </w:p>
        </w:tc>
        <w:tc>
          <w:tcPr>
            <w:tcW w:w="1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w:t>
            </w: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 impressions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4"/>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ad impressions(4) (in millions)</w:t>
            </w: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247,764</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4312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right="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customer is defined as an advertiser, agency, trading desk or third-party DSP, which we have a direct relationship with, that has used our platform within a trailing 365-day period.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retention rate is defined as Contribution ex-TAC generated in the year ended December 31, 2025 from customers that were existing customers as of December 31, 2024 as a percentage of the Contribution ex-TAC generated in the year ended December 31, 2024 from the same group of customers. Contribution ex-TAC retention rate is intended to provide an aggregated view of positive and negative changes for the same group of customers over a 12-month period, including customer attrition, customer renewal, service upgrades and service downgrades.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publisher is defined as a publisher or third-party SSP that has used our platform within a trailing 365-day period.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 impression refers to each time an ad is displayed within our platform.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$133.3 million and working capital, consisting of current operating assets less current operating liabilities, of $75.3 million. We believe our working capital is sufficient for our present working capital requirements. Additionally, we believe our existing cash resources, ability to generate cash from operating activities and access to external financing sources, will be sufficient to support our long-term liquidity needs beyond the next 12 months, including liquidity needed for strategic initiatives and potential investments.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years presented.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59"/>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reported)</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110,109</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150,835</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(48,622)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(21,212)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(117,524)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(174,744)</w:t>
            </w:r>
          </w:p>
        </w:tc>
      </w:tr>
    </w:tbl>
    <w:p>
      <w:pPr>
        <w:spacing w:after="0" w:line="198"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Net cash provided by operating activities was $110.1 million for the year ended December 31, 2025, derived from total profit of $25.0 million, adjusted for $88.5 million of non-cash items, including $63.1 million of depreciation and amortization, $18.0 million of share-based compensation expenses, and $12.2 million of tax expenses and a $0.2 million remeasurement of net investment in a finance lease, partially offset by $5.1 million of net finance income. Operating cash flow also reflected $5.6 million of net cash used in changes in working capital and other operating activities, including a $21.9 million decrease in accounts receivable, a $21.3 million decrease in accounts payable, $6.2 million of net income taxes paid, net, and $2.4 million of net interest received, consisting of $4.4 million of interest received and $2.0 million of interest paid.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$150.8 million for the year ended December 31, 2024, derived from total profit of $35.4 million, adjusted for $76.7 million of non-cash items, including $58.7 million of depreciation and amortization, $11.4 million of share-based compensation expenses, $2.0 million of net finance expenses, $3.1 million of tax expenses, and a $1.5 million remeasurement of net investment in a finance lease. Additionally, there was $38.4 million of net cash used in changes in working capital and other operating activities, including a $14.5 million increase in accounts receivable, a $57.7 million increase in accounts payable, $4.8 million of net income taxes paid, net, and $0.2 million of net interest received, consisting of $6.6 million of interest received and $6.4 million of interest paid.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Net cash used in investing activities was $48.6 million for the year ended December 31, 2025, primarily driven by a $20.0 million investment in V shares, $17.6 million related to the acquisition and capitalization of intangible assets, $12.1 million related to the acquisition of fixed assets, and $0.3 million related to pledged deposits. These uses of cash were partially offset by $1.2 million of lease payment receipts and $0.1 million of repayments on a loan to a third party.</w:t>
      </w:r>
    </w:p>
    <w:p>
      <w:pPr>
        <w:spacing w:after="0" w:line="18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was $21.2 million for the year ended December 31, 2024, consisting primarily of $15.8 million for the acquisition and capitalization of intangible assets and $7.7 million for the acquisition of fixed assets, partially offset by $0.4 million of pledged deposits, $1.8 million of lease payment receipts, and $0.1 million of repayments on a loan to a third party.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43"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was $117.5 million for the year ended December 31, 2025, primarily driven by $101.7 million related to the repurchase of the Company’s shares and $16.3 million related to lease repayments. These uses of cash were partially offset by $0.4 million of proceeds from the exercise of share options.</w:t>
      </w:r>
    </w:p>
    <w:p>
      <w:pPr>
        <w:spacing w:after="0" w:line="17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Net cash used in financing activities was $174.7 million for the year ended December 31, 2024, primarily driven by $60.7 million related to the repurchase of the Company’s shares, $100 million related to the repayment of a long-term loan, and $15.1 million related to lease repayments. These uses of cash were partially offset by $1.1 million of proceeds from the exercise of share options.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2022, Nexxen Group US Holdings Inc. (f/k/a Unruly Group US Holding Inc.) entered into a $90 million senior secured term loan facility (the “Term Loan Facility”) and a $90 million senior secured revolving credit facility with a $15 million letter of credit sub-facility (the “Revolving Credit Facility”). The Company used the net proceeds of the Term Loan Facility and $10 million of net proceeds of the Revolving Credit Facility to fund a portion of the cash consideration required to close its acquisition of Amobee. On April 9, 2024, the Company repaid its outstanding Term Loan Facility in full, together with its then outstanding Revolving Credit Facility borrowings, in the total amount of $100 million. No early termination penalties were incurred. Following such repayment, the Revolving Credit Facility remained available with no amounts outstanding.</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29, 2025, the Company entered into a second amendment to the credit agreement (the “Second Amendment”), pursuant to which, among other things, the total committed Revolving Credit Facility was reduced from $90 million to $50 million and the maturity date of the Revolving Credit Facility was extended to September 2027. As of December 31, 2025, no amounts were outstanding under the Revolving Credit Facility. The Revolving Credit Facility bears interest, at the Company’s discretion, at a base rate plus a margin ranging from 0.75% to 1.25% per annum or at a SOFR rate plus a margin ranging from 1.75% to 2.25% per annum, in each case plus a credit spread adjustment of 0.10% to 0.25% based on the interest period duration of the applicable borrowing, with the applicable margin determined by reference to the Company’s consolidated total net leverage ratio. The Revolving Credit Facility may be borrowed, repaid, and re-borrowed until its maturity, and the Company may prepay amounts outstanding thereunder at its discretion without premium or penalty.</w:t>
      </w:r>
    </w:p>
    <w:p>
      <w:pPr>
        <w:spacing w:after="0" w:line="190"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The Company is also obligated to pay a commitment fee on the undrawn amounts of the Revolving Credit Facility at an annual rate ranging from 0.20% to 0.35%, determined by the Company’s total net leverage ratio. The Revolving Credit Facility requires compliance with various financial and non-financial covenants, including affirmative and negative covenants. The financial covenants require that the total net leverage ratio not exceed 3x and the interest coverage ratio not be less than 4x, in each case measured as of the end of each fiscal quarter. As of December 31, 2025, the Company was in compliance with all related covenants. The letter of credit sub-facility includes a fee at a rate per annum equal to the applicable margin for SOFR Loans then in effect on the daily maximum amount then available to be drawn as well as a fronting fee equal to 0.125% per annum along with other standard fees.</w:t>
      </w:r>
    </w:p>
    <w:p>
      <w:pPr>
        <w:spacing w:after="0" w:line="18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Nexxen Group US Holdings Inc.’s obligations under the Revolving Credit Facility is (i) jointly and severally guaranteed by Nexxen International Ltd. and certain of Nexxen International Ltd.’s direct and indirect, existing and future wholly owned restricted subsidiaries, subject to certain exceptions and (ii) secured on a first-lien basis by substantially all of the tangible and intangible assets of Nexxen Group US Holdings Inc. and the guarantors of the Revolving Credit Facility, subject to certain permitted liens and other agreed upon exceptions.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capital expenditures consist primarily of purchases of hardware and software. During the years ended December 31, 2025 and 2024, our capital expenditures totaled $31.3 million and $22.7 million, respectively. We expect to continue making capital expenditures to support the anticipated growth of our business, which we expect to fund from our existing 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2025 and 2024, our contractual obligations consist of leases, trade, and other payables totaling $242,198 and $272,289, respectively. Of these amounts, $223,554 and $249,432 were due within one year as of December 31, 2025 and 2024, respectively.</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Company has committed to a further equity investment in V of $15 million, subject to the satisfaction of certain conditions precedent.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is expected to be completed in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PATENTS AND LICENSES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model enables us to invest in research and development, which has supported the growth of our business. Our platform efficiently manages large volumes of complex data and is used in real-time by both our advertiser and publisher customers. We remain committed to developing innovative technologies and rapidly introducing enhanced functionalities to meet the evolving needs of our clients. As a result, we expect technology and development expenses to increase over time as we continue to invest in our platform to accommodate higher advertising volumes and support our international expansion.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technology and development team is based mainly in the United States and Israel, and is comprised of 284 employees.</w:t>
      </w:r>
    </w:p>
    <w:p>
      <w:pPr>
        <w:spacing w:after="0" w:line="252"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Research and development expenses were $58.1 million and $50.0 million for the years ended December 31, 2025 and 2024, respectively, and accounted for 20.9% and 19.0% of our operating expenses in 2025 and 2024, respectively. Our success depends, in part, on our ability to protect the proprietary methods and technologies that we develop or otherwise acquire. We rely on a combination of patent, trademark, copyright, trade secret laws, confidentiality procedures and contractual provisions to protect our proprietary methods and technologies and own more than 50 patents in the United States. In 2025, we successfully rebranded our Company’s various businesses under the name “Nexxen” and the associated Nexxen logo, to further promote our unified service and product offerings. The Company has been working on this rebranding in its public facing assets. The Company has obtained international trademark registrations for these trademarks. The Company has obtained trademark registrations in Australia, the European Union, Israel, Mexico, Singapore, the United Kingdom, China, and the United States. The Company is actively prosecuting similar trademark applications in Canada and Japan. The Company also uses and actively protects other trademarks in various jurisdictions and holds trademark registrations for the Perk mark in the United States and the Perk logo in Australia, New Zealand, India, the European Union, the United Kingdom, and WIPO. We generally enter into confidentiality and/or license agreements with our employees, consultants, vendors and advertisers, and we generally limit access to, and distribution of, our proprietary information. We intend to pursue additional intellectual property protection to the extent we believe it would be beneficial and cost effective.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41"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i w:val="1"/>
          <w:iCs w:val="1"/>
          <w:color w:val="auto"/>
        </w:rPr>
        <w:t>Advertising Ecosystem</w:t>
      </w:r>
      <w:r>
        <w:rPr>
          <w:rFonts w:ascii="Times New Roman" w:cs="Times New Roman" w:eastAsia="Times New Roman" w:hAnsi="Times New Roman"/>
          <w:sz w:val="18"/>
          <w:szCs w:val="18"/>
          <w:color w:val="auto"/>
        </w:rPr>
        <w:t>. We believe we are well positioned to benefit from several trends in the evolving advertising ecosystem,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proliferation of digital media consumption; growing adoption of programmatic advertising; increasing advertiser focus on premium formats such as Video and CTV; the shift of linear advertising budgets toward, and their convergence with, digital advertising budgets; the continued migration of live sports to digital environments, including CTV; increased advertiser reliance on data-driven tools and AI; and the increasing sophistication of the digital advertising landscape.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address the digital advertising market through three core proprietary offerings: a demand-side platform (“DSP”) that advertisers use to plan, activate, and manage digital advertising campaigns; a supply-side platform (“SSP”) that digital publishers use to monetize inventory; and the Nexxen Data Platform, which integrates directly with both our DSP and SSP to drive performance. Our Data Platform leverages large-scale data sets, advanced machine learning techniques, and AI to generate audience insights and campaign recommendations. By contextualizing and synthesizing this data, the platform is designed to provide advertisers with a more comprehensive and granular view of audiences across formats and devices, which can improve campaign effectiveness and returns on advertising investments, while also supporting the optimization of digital publisher inventory monetization. By combining these three proprietary solutions with integrations across industry-leading partners, we offer an end-to-end platform that is designed to be flexible and scalable to meet our customers’ needs, while enabling us to operate across a broad and growing range of digital advertising spend and verticals.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Over the past several years, the advertising environment has been influenced by a combination of macroeconomic, geopolitical, and pandemic-related factors. In 2022 and 2023, advertisers faced challenges from rising inflation, higher interest rates, and ongoing uncertainty related to the residual effects of the COVID-19 pandemic, which in some cases led to reduced or delayed campaigns. In 2024, the industry benefitted from lower inflation, reduced interest rates, and the U.S. election cycle, contributing to stronger advertising activity, although geopolitical hostilities and broader macroeconomic uncertainty continued to impact advertiser budgets and spending to an extent. In 2025, the advertising environment remained generally positive, but growth was constrained by: cautious and uneven consumer spending; macroeconomic and industry uncertainty; evolving U.S. and global trade dynamics; ongoing geopolitical hostilities; tariffs; reduced political advertising spend compared to 2024; and increased supply path optimization (“SPO”) efforts by larger DSPs within the industry. The Company believes many of these aforementioned challenges could continue to impact advertising budgets and spending in 2026, however, the Company may also benefit from non-annual major advertising events occurring in 2026, including the Winter Olympics, FIFA World Cup and U.S. mid-term election cycle.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Judgments and Estimates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prepare our audited consolidated financial statements in accordance with IFRS as issued by the IASB. In preparing our audited consolidated financial statements, we make assumptions, judgments and estimates that can have a significant impact on amounts reported in our audited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which are described in Note 3 to our audited consolidated financial statements included elsewhere in this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our audited consolidated financial statements included elsewhere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Senior Management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including their ages as of February 28,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2"/>
                <w:szCs w:val="22"/>
                <w:color w:val="auto"/>
              </w:rPr>
            </w:pPr>
          </w:p>
        </w:tc>
        <w:tc>
          <w:tcPr>
            <w:tcW w:w="41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Ofer Druker</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Sagi Niri</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Yaniv Carmi</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Christopher Stibbs</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Chairperson</w:t>
            </w: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Neil Jones</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Non-Executive Director</w:t>
            </w: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Lisa Klinger</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30"/>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Daniel Kerstein</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34"/>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Rhys Summerton</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Christopher Stibbs. </w:t>
      </w:r>
      <w:r>
        <w:rPr>
          <w:rFonts w:ascii="Times New Roman" w:cs="Times New Roman" w:eastAsia="Times New Roman" w:hAnsi="Times New Roman"/>
          <w:sz w:val="18"/>
          <w:szCs w:val="18"/>
          <w:color w:val="auto"/>
        </w:rPr>
        <w:t>Christopher Stibbs has served as a member of our board of directors since May 2019 and as our Non-Executive Chairperson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September 2020. Mr. Stibbs has over 25 years of experience as an executive in the media industry. From July 2013 to August 2019, he served as Chief Executive of The Economist Group Ltd. (the “Economist Group”), a media company. Previously, he held a number of roles within the group including head of the Economist Intelligence Unit (the group’s B2B arm) and Chief Financial Officer. He is credited with overseeing the Economist Group’s resilience and transition through the unprecedented disruption experienced by the publishing industry over the last 15 years. Prior to this, he held positions with Pearson (NYSE:PSO), a publishing company and Incisive Media, a B2B information and events company. Mr. Stibbs is a fellow of the Associations of Chartered Accountants and Corporate Treasurers and currently serves as a non-executive director at Oxford University Press and serves as a chairman of IBA Aviation.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jc w:val="both"/>
        <w:ind w:firstLine="32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Neil Jones. </w:t>
      </w:r>
      <w:r>
        <w:rPr>
          <w:rFonts w:ascii="Times New Roman" w:cs="Times New Roman" w:eastAsia="Times New Roman" w:hAnsi="Times New Roman"/>
          <w:sz w:val="18"/>
          <w:szCs w:val="18"/>
          <w:color w:val="auto"/>
        </w:rPr>
        <w:t>Neil Jones has served as a member of our board of directors since 2014. Mr. Jones spent most of his executive career in the media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the Finance and M&amp;A functions of UK listed and private equity backed businesses. He was Corporate Development Director of Inizio Group Limited, the international life science services company created from the merger of UDG Healthcare plc and Huntsworth plc (“Huntsworth”) from August 2021 until July 2025. Prior to that he was Chief Operating Officer and Chief Financial Officer at Huntsworth plc from February 2016. He joined Huntsworth from ITE Group plc, the international exhibitions group, where he held the position of Chief Financial Officer from 2008 to 2016. Between 2003 and 2008, Mr. Jones was Chief Financial Officer at Tarsus Group plc, an international media company. Mr. Jones has a B.A. in Economics from the University of Manchester and completed his ACA in July 1990 with PricewaterhouseCoopers.</w:t>
      </w:r>
    </w:p>
    <w:p>
      <w:pPr>
        <w:spacing w:after="0" w:line="190"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Lisa Klinger. </w:t>
      </w:r>
      <w:r>
        <w:rPr>
          <w:rFonts w:ascii="Times New Roman" w:cs="Times New Roman" w:eastAsia="Times New Roman" w:hAnsi="Times New Roman"/>
          <w:sz w:val="18"/>
          <w:szCs w:val="18"/>
          <w:color w:val="auto"/>
        </w:rPr>
        <w:t>Lisa Klinger has served as a member of our board of directors since April 2021. Ms. Klinger has nearly 30 years of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international finance. Most recently, between 2018 and 2019, Ms. Klinger served as Chief Financial Officer at Ideal Image Development Corp, an L Catterton portfolio company and the largest U.S. retail provider of nonsurgical cosmetic and aesthetic procedures. Prior to that, between 2016 and 2017, she held the role of Chief Financial and Administrative Officer at Peloton Interactive Inc., (NASDAQ:PTON), the leading connected fitness platform. Ms. Klinger's previous Chief Financial Officer roles include Vince Holding Corp. (NYSE:VNCE), a fashion apparel company and The Fresh Market, Inc., a specialty food retailer. At both companies, Ms. Klinger led go-public processes and subsequently served on the Executive Leadership team of the public entities. Ms. Klinger also held senior finance roles at Limited Brands and at Michael’s Stores, Inc. where she was Senior Vice President, Finance and Treasurer, and Acting Chief Financial Officer. She currently serves on the Board of Directors and as Audit Committee Chair of Emerald Holdings, Inc. (NYSE:EEX), a leading U.S. business-to-business platform producer of trade shows, events, conferences, marketing, and B2B software solutions, since 2018, and also serves on the Board of Directors and both the Audit Committee and Compensation Committee of The Container Store Group, Inc. (NYSE:TCS), the leading specialty retailer of storage, organization products, custom closets and in-home services in North America. Ms. Klinger also served on the Board of Directors and Audit Committee of Party City Holdco, Inc. (NYSE:PRTY), a vertically integrated party goods supplier and retailer from 2015 to 2021. Ms. Klinger holds a B.S.B.A. in Finance from Bowling Green State University.</w:t>
      </w:r>
    </w:p>
    <w:p>
      <w:pPr>
        <w:spacing w:after="0" w:line="197"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Daniel Kerstein. </w:t>
      </w:r>
      <w:r>
        <w:rPr>
          <w:rFonts w:ascii="Times New Roman" w:cs="Times New Roman" w:eastAsia="Times New Roman" w:hAnsi="Times New Roman"/>
          <w:sz w:val="18"/>
          <w:szCs w:val="18"/>
          <w:color w:val="auto"/>
        </w:rPr>
        <w:t>Daniel Kerstein has served as a member of our board of directors since December 2023. Currently, Mr. Kerstein holds the 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M&amp;A, Head of Structuring Solutions and Shareholder Advisory at TD Securities. From 2011 through 2023, Mr. Kerstein held the position of Managing Director, M&amp;A and Global Head of Activist Defense and ESG Advisory at Barclays, where he managed a global team of bankers focused on activist-shareholder defense and ESG advisory. From 2007 through 2011, Mr. Kerstein held the position of Managing Director, Global Finance at Barclays and Lehman Brothers where he led a team of structuring experts, lawyers and accountants, applying accounting, tax, regulatory and general financial expertise to address changing market and regulatory environments to create innovative financial products and strategic alternatives focused on maximizing corporate and shareholder value and improving company returns. Mr. Kerstein joined Lehman Brothers in 2003 from Merrill Lynch. From 1997 through 2003, Mr. Kerstein held the position Vice President, Corporate Finance Investment Banking at Merrill Lynch. Mr. Kerstein holds a B.A. from CUNY, Queens College and a J.D. from Harvard Law School.</w:t>
      </w:r>
    </w:p>
    <w:p>
      <w:pPr>
        <w:spacing w:after="0" w:line="2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Rhys Summerton. </w:t>
      </w:r>
      <w:r>
        <w:rPr>
          <w:rFonts w:ascii="Times New Roman" w:cs="Times New Roman" w:eastAsia="Times New Roman" w:hAnsi="Times New Roman"/>
          <w:sz w:val="18"/>
          <w:szCs w:val="18"/>
          <w:color w:val="auto"/>
        </w:rPr>
        <w:t>Rhys Summerton has served as a member of our board of directors since December 2023. From 2014 through the present,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Summerton holds the position of Fund Manager and Investor at Milkwood Capital, a long-term, value-oriented, global investment company. During this time, Mr. Summerton has successfully promoted the value realization of a number of investments through efficient capital allocation and decision making. From 2009 to 2013, Mr. Summerton held the position of Managing Director and Global Head of Emerging Market Equity Research at Citigroup, managing the number 1 ranked research franchise. Prior to that, Mr. Summerton was a telecoms and media analyst at Citigroup and Cazenove. Mr. Summerton is a Chartered Accountant, through Ernst &amp; Young.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i w:val="1"/>
          <w:iCs w:val="1"/>
          <w:color w:val="auto"/>
        </w:rPr>
        <w:t>Ofer Druker</w:t>
      </w:r>
      <w:r>
        <w:rPr>
          <w:rFonts w:ascii="Times New Roman" w:cs="Times New Roman" w:eastAsia="Times New Roman" w:hAnsi="Times New Roman"/>
          <w:sz w:val="18"/>
          <w:szCs w:val="18"/>
          <w:color w:val="auto"/>
        </w:rPr>
        <w:t>. Ofer Druker has served as our Chief Executive Officer and as a member of our board of directors since April 2019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merger with RhythmOne, a digital advertising technology company. From November 2017 to April 2019, Mr. Druker served as our Executive Chairman of the Tremor Video division and was instrumental in our successful integration of Tremor Video after its acquisition in August 2017. Previously, Mr. Druker was the founder and Chief Executive Officer of Matomy Media Group Ltd. (LSE:MTMY), a data-driven advertising company (“Matomy”) until April 2017, having built Matomy from its inception in 2007 into a digital media company. Mr. Druker was responsible for leading and integrating Matomy’s most important strategic transactions, including the acquisitions of Team Internet, Media Whiz, Mobfox and Optimatic.</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Sagi Niri. </w:t>
      </w:r>
      <w:r>
        <w:rPr>
          <w:rFonts w:ascii="Times New Roman" w:cs="Times New Roman" w:eastAsia="Times New Roman" w:hAnsi="Times New Roman"/>
          <w:sz w:val="18"/>
          <w:szCs w:val="18"/>
          <w:color w:val="auto"/>
        </w:rPr>
        <w:t>Sagi Niri has served as our Chief Financial Officer since March 2020. Mr. Niri previously served as a member of our board of directors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2020 until August 2024. Mr. Niri has over 20 years of experience in finance and leadership roles in the technology and real estate sectors. Mr. Niri previously served as Chief Executive Officer of Labs (“Labs”), and Chief Financial Officer of LabTech Investments Ltd., Labs’ parent company, which owns and manages office, retail and residential real estate in London. In addition, Mr. Niri spent over nine years at Matomy, initially as Chief Operating Officer/Chief Financial Officer and more recently as Chief Executive Officer. Mr. Niri is a member of the Institute of Certified Public Accountants in Israel and holds an M.B.A. in Finance from Manchester University and a B.A. in Corporate Finance from the College of Management in Israel.</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Yaniv Carmi. </w:t>
      </w:r>
      <w:r>
        <w:rPr>
          <w:rFonts w:ascii="Times New Roman" w:cs="Times New Roman" w:eastAsia="Times New Roman" w:hAnsi="Times New Roman"/>
          <w:sz w:val="18"/>
          <w:szCs w:val="18"/>
          <w:color w:val="auto"/>
        </w:rPr>
        <w:t>Yaniv Carmi has served as our Chief Operating Officer since March 2020. Mr. Carmi previously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from 2014 until November 2024 and as our Chief Financial Officer from January 2010 to March 2020. He is currently responsible for the delivery of our business plan and driving our growth ambitions. Mr. Carmi was instrumental in our initial public offering of our ordinary shares on AIM in 2014 and in the subsequent global expansion in operations, including significant M&amp;A activity. He is an experienced finance professional, whose previous roles include tax and audit senior at KPMG Israel. Mr. Carmi is also a Certified Public Accountant and holds a B.A. in Economics and Accounting from Ben-Gurion University and an M.B.A. in Financial Management from Tel Aviv University.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Concerning Election of Directors; Family Relationships</w:t>
      </w:r>
    </w:p>
    <w:p>
      <w:pPr>
        <w:spacing w:after="0" w:line="243"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We are not a party to, and are not aware of, any arrangements pursuant to which any of our senior management members or directors was selected as such. In addition, there are no family relationships among our senior management members or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Compensation of Office Holders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aggregate compensation, including share-based compensation, paid by us and our subsidiaries to our executive officers and executive and non-executive directors for the year ended December 31, 2025 was approximately $9.7 million. This amount includes approximately $0.4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380,693 RSUs and PSUs granted to our executive officers and a director were outstanding under our equity incentive plans.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Disclosure in Accordance with Israeli Law</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is required under applicable Israeli Law and sets forth the compensation earned by our five most highly compensated office holders during or with respect to the year ended December 31, 2025. We refer to the five individuals for whom disclosure is provided herein as our “Covered Executives.” For purposes of the table and the summary below, “compensation” includes base salary, bonuses, equity-based compensation, retirement or termination payments, and any benefits or perquisites such as car, phone and social benefits, as well as any undertaking to provide such compensation in the future.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6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Information Regarding Covered Executives(1</w:t>
            </w: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Benefits and</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Variable</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Equity-Based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r>
              <w:rPr>
                <w:rFonts w:ascii="Times New Roman" w:cs="Times New Roman" w:eastAsia="Times New Roman" w:hAnsi="Times New Roman"/>
                <w:sz w:val="29"/>
                <w:szCs w:val="29"/>
                <w:b w:val="1"/>
                <w:bCs w:val="1"/>
                <w:color w:val="auto"/>
                <w:vertAlign w:val="superscript"/>
              </w:rPr>
              <w:t>(2)</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Prerequisites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7"/>
                <w:szCs w:val="17"/>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1"/>
        </w:trPr>
        <w:tc>
          <w:tcPr>
            <w:tcW w:w="37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5"/>
                <w:szCs w:val="15"/>
                <w:b w:val="1"/>
                <w:bCs w:val="1"/>
                <w:color w:val="auto"/>
              </w:rPr>
              <w:t>(3)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Ofer Druker, </w:t>
            </w:r>
            <w:r>
              <w:rPr>
                <w:rFonts w:ascii="Times New Roman" w:cs="Times New Roman" w:eastAsia="Times New Roman" w:hAnsi="Times New Roman"/>
                <w:sz w:val="18"/>
                <w:szCs w:val="18"/>
                <w:i w:val="1"/>
                <w:iCs w:val="1"/>
                <w:color w:val="auto"/>
              </w:rPr>
              <w:t>Chief Executive Officer</w:t>
            </w: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108,946</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2,345,876</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1,478,799</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4,683,621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Yaniv Carmi, </w:t>
            </w:r>
            <w:r>
              <w:rPr>
                <w:rFonts w:ascii="Times New Roman" w:cs="Times New Roman" w:eastAsia="Times New Roman" w:hAnsi="Times New Roman"/>
                <w:sz w:val="18"/>
                <w:szCs w:val="18"/>
                <w:i w:val="1"/>
                <w:iCs w:val="1"/>
                <w:color w:val="auto"/>
              </w:rPr>
              <w:t>Chief Operating Officer</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83,866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652,768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765,647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2,102,281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Sagi Niri, </w:t>
            </w:r>
            <w:r>
              <w:rPr>
                <w:rFonts w:ascii="Times New Roman" w:cs="Times New Roman" w:eastAsia="Times New Roman" w:hAnsi="Times New Roman"/>
                <w:sz w:val="18"/>
                <w:szCs w:val="18"/>
                <w:i w:val="1"/>
                <w:iCs w:val="1"/>
                <w:color w:val="auto"/>
              </w:rPr>
              <w:t>Chief Financial Officer</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157,817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627,595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1,020,854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2,256,266</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Karim Rayes, </w:t>
            </w:r>
            <w:r>
              <w:rPr>
                <w:rFonts w:ascii="Times New Roman" w:cs="Times New Roman" w:eastAsia="Times New Roman" w:hAnsi="Times New Roman"/>
                <w:sz w:val="18"/>
                <w:szCs w:val="18"/>
                <w:i w:val="1"/>
                <w:iCs w:val="1"/>
                <w:color w:val="auto"/>
              </w:rPr>
              <w:t>Chief Product Officer</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552,076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756,399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1,831,454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Chance Johnson, </w:t>
            </w:r>
            <w:r>
              <w:rPr>
                <w:rFonts w:ascii="Times New Roman" w:cs="Times New Roman" w:eastAsia="Times New Roman" w:hAnsi="Times New Roman"/>
                <w:sz w:val="18"/>
                <w:szCs w:val="18"/>
                <w:i w:val="1"/>
                <w:iCs w:val="1"/>
                <w:color w:val="auto"/>
              </w:rPr>
              <w:t>Chief Commercial Officer</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630,338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1,136,174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4312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Israeli law, all amounts reported in the table are in terms of cost to the Company, as recorded in our audited consolidated financial statements for the year ended December 31,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officers listed in the table are full-time employees. Cash compensation amounts denominated in currencies other than the U.S. dollar were converted into U.S. dollars at the average conversion rate for the year ended December 31, 2025.</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applicable law. Such benefits and perquisites may include, to the extent applicable to each executive, payments, contributions and/or allocations for savings funds, pension, severance, vacation, medical insurances and benefits, risk insurances (such as life, disability and accident insurances), convalescence pay, payments for Medicare and social security, tax gross-up payments and other benefits and perquisites consistent with our guidelines, regardless of whether such amounts have actually been paid to the executive.</w:t>
      </w:r>
    </w:p>
    <w:p>
      <w:pPr>
        <w:spacing w:after="0" w:line="19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refer to variable compensation such as earned commissions, incentives and earned or paid bonuses as recorded in our audited consolidated financial statements for the year ended December 31,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expense recorded in our audited consolidated financial statements for the year ended December 31, 2025 with respect to equity-based compensation, reflecting also equity awards made in previous years which have vested during the current year and beyond. Assumptions and key variables used in the calculation of such amounts are described in Note 17 to our audited consolidated financial statements, which are included in this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Chief Executive Officer and Executive Director</w:t>
      </w:r>
      <w:r>
        <w:rPr>
          <w:rFonts w:ascii="Times New Roman" w:cs="Times New Roman" w:eastAsia="Times New Roman" w:hAnsi="Times New Roman"/>
          <w:sz w:val="18"/>
          <w:szCs w:val="18"/>
          <w:color w:val="auto"/>
        </w:rPr>
        <w:t>. Ofer Druker, our Chief Executive Officer and executive director, currently receives an annual base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$750,000, and he is eligible for a target annual bonus of 0% to 200% of his base salary ($1.5 million) with an over-achievement rate capped at 150% of the target annual bonus (300% base salary), effective for fiscal years 2025, 2026 and 2027, subject to compliance with annual performance criteria to be determined by the compensation committee each year.</w:t>
      </w:r>
    </w:p>
    <w:p>
      <w:pPr>
        <w:spacing w:after="0" w:line="19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2024, our compensation committee, board of directors (without the attendance or vote of Mr. Druker) and shareholders approved granting Mr. Druker an RSU award with a target value of $437,500 (43,750 RSUs) and a PSU award with a target grant value of $1,312,500 (131,250 PSUs) pursuant to our Global Share Incentive Plan (2011), as amended (the “2011 Plan”). The RSU award vested in full 12 months after the date the grant was approved by the Board (August 25, 2025), and the PSU award is subject to both performance- and time-based vesting conditions; performance measurement periods of two years (27% of the PSUs) and one year (73% of the PSUs), and subject to the achievement of pre-defined Adjusted EBITDA and relative Total Shareholder Return (“TSR”) threshold, target and maximum goals set by the compensation committee. As of February 28, 2026, the first tranche of the PSUs was vested, with an achievement rate of 132% (total: 126,473 PSUs). The vesting of the remaining unvested awards shall accelerate in full in connection with a termination of employment within 3 months prior to or 12 months following the consummation of a change in control of the Company. In such an event, all outstanding equity compensation awards held by Mr. Druker at such time shall immediately vest in full, with any applicable performance conditions deemed to be achieved at target. The approval further included a new equity award termination provision, by which if Mr. Druker elects to leave (retire) at any point after January 1, 2026 by providing the board of directors at least 6 months’ prior written notice, his unvested RSUs and PSUs will continue to vest in full post-retirement and payout on the standard vesting/payout dates and based on the same payout factor (percent of target) as other participants, reasonable support for transition prior to retirement and assuming he complies with post-retirement restrictive covenants.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0" w:name="page71"/>
    <w:bookmarkEnd w:id="7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our compensation committee and board of directors (without the attendance or vote of Mr. Druker) approved and on January 6, 2026, our shareholders approved granting Mr. Druker a new time-based cash award with a target value of $437,500 and a new performance-based cash award with a target grant value of $1,312,500. The time-based cash award shall vest in full, 12 months after the date the grant was approved by the Board (May 13, 2026), provided Mr. Druker is engaged by the Company on the vesting date, and the performance-based cash award is subject to both performance- and time-based vesting conditions; performance measurement periods of two years (41% of the performance-based cash award) and one year (59% of the performance-based cash award), and subject to the achievement of pre-defined Adjusted EBITDA and relative TSR threshold, target and maximum goals set by the compensation committee. Above-target payout can be up to 1.5x target grant ($) value.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awards are subject to “double trigger” acceleration, meaning vesting will accelerate in full upon both (1) change of control acceleration and</w:t>
      </w:r>
    </w:p>
    <w:p>
      <w:pPr>
        <w:spacing w:after="0" w:line="27" w:lineRule="exact"/>
        <w:rPr>
          <w:sz w:val="20"/>
          <w:szCs w:val="20"/>
          <w:color w:val="auto"/>
        </w:rPr>
      </w:pPr>
    </w:p>
    <w:p>
      <w:pPr>
        <w:jc w:val="both"/>
        <w:ind w:firstLine="8"/>
        <w:spacing w:after="0" w:line="264" w:lineRule="auto"/>
        <w:tabs>
          <w:tab w:leader="none" w:pos="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without cause. In such event, all outstanding performance-based and time-based cash compensation awards held by the CEO at such time shall immediately vest in full, with any applicable performance conditions deemed to be achieved at target. If Mr. Druker elects to leave (retire) after January 1, 2027, and provides at least 6 months prior written notice to the Board, his unvested performance-based and time-based cash awards will continue to vest post-retirement on their regular schedule, subject to continued compliance with post-retirement restrictive covenants and reasonable transition support.</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Chief Operating Officer</w:t>
      </w:r>
      <w:r>
        <w:rPr>
          <w:rFonts w:ascii="Times New Roman" w:cs="Times New Roman" w:eastAsia="Times New Roman" w:hAnsi="Times New Roman"/>
          <w:sz w:val="18"/>
          <w:szCs w:val="18"/>
          <w:color w:val="auto"/>
        </w:rPr>
        <w:t>. Yaniv Carmi, our Chief Operating Officer, has a current annual base salary of $600,000, and he is eligible for a target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opportunity equal to 80% of his annual base salary (or $480,000) up to a maximum payout of 150% of the target annual amount bonus for outperformance (or $720,000), subject to compliance with annual performance criteria to be determined by the compensation committee each year. Mr. Carmi is entitled to a special bonus of £300,000 (or $403,152) in the event of a company sale (or a pro rata portion in the case of a partial sale).</w:t>
      </w:r>
    </w:p>
    <w:p>
      <w:pPr>
        <w:spacing w:after="0" w:line="201"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In 2024, our compensation committee and board of directors approved granting Mr. Carmi an annual grant of 91,463 RSUs and 39,199 PSUs, based on a target grant value of $750,000 and a target vehicle mix of 70% RSUs and 30% PSUs, pursuant to our 2017 Plan (as defined below). The RSUs grant vested in full on June 30, 2025. The PSUs will vest over a period of three years, with 33.33% vesting each year subject to (i) Mr. Carmi continuing to be employed by the group on the applicable vesting date, and (ii) meeting related pre-defined one, two- and three-year Adjusted EBITDA and Relative TSR performance goals as determined by the compensation committee. As of February 28, 2026, the first tranche of the PSUs was vested, with an achievement rate of 130% (total: 16,987 PSUs). The vesting of the remaining unvested awards shall accelerate in full in connection with a termination of employment within 3 months prior to or 12 months following the consummation of a change in control of the Company. In such an event, all outstanding equity compensation awards held by Mr. Carmi at such time shall immediately vest in full, with any applicable performance conditions deemed to be achieved at target.</w:t>
      </w:r>
    </w:p>
    <w:p>
      <w:pPr>
        <w:spacing w:after="0" w:line="192"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In 2025, our compensation committee and board of directors approved granting Mr. Carmi an annual grant of 56,540 RSUs and 24,232 PSUs, based on a target grant value of $750,000 and a target vehicle mix of 70% RSUs and 30% PSUs, pursuant to our 2017 Plan. These RSUs grant shall vest fully one year following grant, subject to Mr. Carmi continuing to be employed by the group on the applicable vesting date. These PSUs will vest over a period of three years, with 67% vesting after two years and 33% vesting after three years, subject to (i) Mr. Carmi continuing to be employed by the group on the applicable vesting date, and (ii) meeting related pre-defined two- and three-year Adjusted EBITDA and Relative TSR performance goals, as determined by the compensation committee.</w:t>
      </w:r>
    </w:p>
    <w:p>
      <w:pPr>
        <w:spacing w:after="0" w:line="18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vesting of the RSUs and PSUs shall accelerate in full in connection with a termination of employment within 3 months prior to or 12 months following the consummation of a change in control of the Company. In such an event, all outstanding equity compensation awards held by Mr. Carmi at such time shall immediately vest in full, with any applicable performance conditions deemed to be achieved at target.</w:t>
      </w:r>
    </w:p>
    <w:p>
      <w:pPr>
        <w:spacing w:after="0" w:line="194"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color w:val="auto"/>
        </w:rPr>
        <w:t>. Sagi Niri, our Chief Financial Officer, has a current annual base salary of $450,000 and he is eligible for a target annual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equal to up to 100% of his annual base salary (or $450,000) with an over-achievement rate capped at 150% of the target annual bonus (or $675,000), subject to compliance with annual performance criteria to be determined by the compensation committee each year.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1" w:name="page72"/>
    <w:bookmarkEnd w:id="7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2024, our compensation committee and board of directors approved granting Mr. Niri an annual grant of 121,951 RSUs and 52,265 PSUs, based on a target grant value of $1,000,000 and a target vehicle mix of 70% RSUs and 30% PSUs, pursuant to our 2011 Plan. The RSUs grant vested in full on June 30, 2025. The PSUs will vest over a period of three years, with 33.33% vesting each year subject to (i) Mr. Niri continuing to be employed by the group on the applicable vesting date, and (ii) meeting related pre-defined one, two- and three-year Adjusted EBITDA and Relative TSR performance goals as determined by the compensation committee. As of February 28, 2026, the first tranche of the PSUs was vested, with an achievement rate of 130% (total: 22,647 PSUs).</w:t>
      </w:r>
    </w:p>
    <w:p>
      <w:pPr>
        <w:spacing w:after="0" w:line="19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vesting of the remaining unvested awards shall accelerate in full in connection with a termination of employment within 3 months prior to or 12 months following the consummation of a change in control of the Company. In such an event, all outstanding equity compensation awards held by Mr. Niri at such time shall immediately vest in full, with any applicable performance conditions deemed to be achieved at target.</w:t>
      </w:r>
    </w:p>
    <w:p>
      <w:pPr>
        <w:spacing w:after="0" w:line="1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our compensation committee and board of directors approved granting Mr. Niri an annual grant of 75,386 RSUs and 32,309 PSUs, based on a target grant value of $1,000,000 and a target vehicle mix of 70% RSUs and 30% PSUs, pursuant to our 2011 Plan. These RSUs grant shall vest fully one year following grant, subject to Mr. Niri continuing to be employed by the group on the applicable vesting date. These PSUs will vest over a period of three years, with 67% vesting after two years and 33% vesting after three years, subject to (i) Mr. Niri continuing to be employed by the group on the applicable vesting date, and (ii) meeting related pre-defined two- and three-year Adjusted EBITDA and Relative TSR performance goals as determined by the compensation committee.</w:t>
      </w:r>
    </w:p>
    <w:p>
      <w:pPr>
        <w:spacing w:after="0" w:line="19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vesting of the RSUs and PSUs shall accelerate in full in connection with a termination of employment within 3 months prior to or 12 months following the consummation of a change in control of the Company. In such an event, all outstanding equity compensation awards held by Mr. Niri at such time shall immediately vest in full, with any applicable performance conditions deemed to be achieved at target.</w:t>
      </w:r>
    </w:p>
    <w:p>
      <w:pPr>
        <w:spacing w:after="0" w:line="17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January 2025, the compensation committee and the board of directors approved a cash-based incentive opportunity, of up to $2.2 million per year in the aggregate for the Company’s executive leadership team (ELT) members (including Mr. Carmi and Mr. Niri), that vests ratably over two years (2025-2026) intended as a supplement to the annual equity awards provided, considering market competitive total annual long-term incentive award target grant values.</w:t>
      </w:r>
    </w:p>
    <w:p>
      <w:pPr>
        <w:spacing w:after="0" w:line="18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In February 2026, the compensation committee and the board of directors approved (x) a special retention bonus of $250,000 for Mr. Niri payable upon the earlier of (i) January 31, 2027 subject to Mr. Niri’s continued service as the Company’s Chief Financial Officer through December 31, 2026, and</w:t>
      </w:r>
    </w:p>
    <w:p>
      <w:pPr>
        <w:spacing w:after="0" w:line="2" w:lineRule="exact"/>
        <w:rPr>
          <w:sz w:val="20"/>
          <w:szCs w:val="20"/>
          <w:color w:val="auto"/>
        </w:rPr>
      </w:pPr>
    </w:p>
    <w:p>
      <w:pPr>
        <w:jc w:val="both"/>
        <w:ind w:firstLine="8"/>
        <w:spacing w:after="0" w:line="265" w:lineRule="auto"/>
        <w:tabs>
          <w:tab w:leader="none" w:pos="2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date Mr. Niri ceases to serve as the Company’s Chief Financial Officer, either (A) due to the Company appointing a new Chief Financial Officer to replace Mr. Niri, or (B) due to a change in control of the Company; and (y) to accelerate the vesting of Mr. Niri’s RSUs and PSUs, as well as any additional equity awards granted to Mr. Niri after such date, such that any not yet vested awards, shall automatically vest on the earlier of (i) March 31, 2027, subject to Mr. Niri’s continued employment as the Company’s Chief Financial Officer through December 31, 2026, in which case the Company shall continue to employ Mr. Niri on the same terms and conditions from January 1, 2027 through March 31, 2027, and (ii) three month after the date Mr. Niri ceases to serve as the Company’s Chief Financial Officer, either (A) due to the Company appointing a new Chief Financial Officer to replace Mr. Niri, or (B) due to a change in control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 Compensation</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Effective April 1, 2025, we pay an annual cash retainer of $60,000 for each non-executive member of the board of directors, an annual cash retainer of $7,500 for service on the Audit Committee, $7,500 for service on the Compensation Committee, and $2,500 for service on the Sustainability, Nominating and Governance (SNG) Committee. In addition, we pay an additional annual cash retainer for committee chairs of $25,000 for the Audit Committee, $25,000 for the Compensation Committee, and $7,500 for the SNG Committee, as well as an annual cash retainer of $70,000 for the non-executive Chair of the Board, and an annual incremental cash retainer of $25,000 was approved for the Lead Independent Director (or Senior Independent Director).</w:t>
      </w:r>
    </w:p>
    <w:p>
      <w:pPr>
        <w:spacing w:after="0" w:line="18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In addition, following each annual general meeting at which a non-executive director is elected or reelected (commencing January 6, 2026), we also grant each non-executive director RSUs with a value of $150,000, with a one-year vesting period, with vesting acceleration in the event of death or long-term defined disability. In connection with the annual general meeting held on January 6, 2026, each non-executive director was granted an additional equity grant on the date of the meeting, consisting of fully vested RSUs with a value of $150,000 to compensate for 2025 (in addition to the new annual equity grant).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the 2011 Plan, under which we may grant equity-based incentive awards to attract, motivate and retain the talent for which we compete.</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2011 Plan is administered by our board of directors with the assistance of the compensation committee, and provides for the grant of options, restricted shares and restricted stock units.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2011 Plan provides for granting awards under various tax regimes, including, without limitation, in compliance with Section 102 of the Israeli Income Tax Ordinance (New Version), 5721-1961 (the “Ordinance”). Section 102 of the Ordinance allows employees, directors and officers who are not controlling shareholders and are considered Israeli residents to receive favorable tax treatment for compensation in the form of shares, restricted stock units or options, subject to the terms and conditions set forth in the Ordinance. Our non-employee service providers and controlling shareholders may only be granted awards under section 3(i) of the Ordinance, which does not provide for similar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the 2017 Plan under which we may grant equity-based incentive awards to attract, motivate and retain the talent for which we compete.</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2017 Plan is administered by our board of directors with the assistance of the compensation committee.</w:t>
      </w:r>
    </w:p>
    <w:p>
      <w:pPr>
        <w:spacing w:after="0" w:line="23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2017 Plan provides for granting awards under various tax regimes, including, without limitation, awards granted to our United States employees or service providers, including those who are deemed to be residents of the United States for tax purposes, Section 422 of the Internal Revenue Code (the “IRC”) and Section 409A of the IRC.</w:t>
      </w:r>
    </w:p>
    <w:p>
      <w:pPr>
        <w:spacing w:after="0" w:line="177"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2017 Plan provides for the grant of stock options (including incentive stock options and nonqualified stock options), restricted shares, restricted stock units, performance bonus awards, performance units and performance shares. Options granted under the 2017 Plan to our employees who are U.S. residents may qualify as “incentive stock options” within the meaning of Section 422 of the IRC, or may be non-qualified stock options.</w:t>
      </w:r>
    </w:p>
    <w:p>
      <w:pPr>
        <w:spacing w:after="0" w:line="19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connection with the Reverse Split completed on February 14, 2025, the number of shares that may be delivered under each of the 2011 Plan and 2017 Plan and the number and price of shares covered by each outstanding award under the 2011 Plan and 2017 Plan, were proportionally adjusted by the board of directors to reflect the Reverse Split and the consolidation at the ratio of one New Ordinary Share for each two old ordinary shares, with any fractional share resulting from such adjustment rounded down to the nearest whole number.</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On February 28, 2026, a total of 263,425 options to purchase Shares, with a weighted average exercise price of $15.44 per share and 3,554,100 RSUs and PSUs were outstanding under the 2011 Plan and 2017 Plan, collectively. As of February 28, 2026, 3,895,969 Shares were available for future issuance under the 2011 Plan and 2017 Plan, collectively.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Tender Offer for Underwater Options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In May 2025, we completed a cash tender offer to cancel certain outstanding employee stock options that had exercise prices significantly greater than the current market price of our ordinary shares, with the goal of providing eligible employees with means to realize value for these options, reduce potential future dilution and increase the number of shares available under our share incentive plans.</w:t>
      </w:r>
    </w:p>
    <w:p>
      <w:pPr>
        <w:spacing w:after="0" w:line="19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offer expired on May 30, 2025. Participation was voluntary and limited to employees holding options with exercise prices of $14.44 or $21.52 per share. Each validly tendered option with a $14.44 exercise price was purchased for $2.08 per share, and each option with a $21.52 exercise price was purchased for $0.78 per share. A total of 95 eligible holders participated, tendering options to purchase an aggregate of 857,816 ordinary shares, and we accepted all such options for cancellation, resulting in a total cash payment of $878,674.33, less applicable tax withholdings, to participating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Program</w:t>
      </w:r>
    </w:p>
    <w:p>
      <w:pPr>
        <w:spacing w:after="0" w:line="243"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Below is a description of our executive compensation objectives and programs, as well as a description of the processes supporting decisions related to executive compensation by our compensation committee with respect to 2025.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Objectives and Philosophy</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executive compensation programs are designed and administered to balance and support the achievement of near-term operational results and long-term growth goals with the ultimate objective of increasing shareholder value and retaining talent viewed as important to supporting our ongoing growth and success. The principal elements of an executive’s total compensation are: base salary, annual cash bonus, and long-term equity incentives.</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Nexxen’s “pay for performance” philosophy regarding executive compensation intends to reward our executives for their contributions to the Company’s annual, mid- and long-term performance by tying a significant portion of their total compensation to key business drivers and shareholder value. Reflecting our pay-for-performance philosophy, a significant portion of our executives' compensation could be paid out above target when results exceed performance goals, be paid out below target when results fall below performance goals, or not be paid at all if results do not achieve a threshold level of performance.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we intend for the annual target total direct compensation (salary, annual incentive and long-term incentives) of our executives to be positioned within a competitive range of market median (see below for how “market” is generally defined by our compensation committee). Actual pay outcomes may vary above or below target based on actual financial and share price performance outcomes. Variations in target total direct compensation among our executives reflect differences in competitive pay for their respective roles as well as the size and complexity of their area of oversight within the business, key competencies, and individual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are committed to ongoing engagement with our shareholders. Our Board, the compensation committee, and our management team value the input and opinions of our shareholders. The compensation committee strives to ensure our executive compensation program supports and aligns with the interests of our long-term shareholders and adheres to our pay for performance philosophy.</w:t>
      </w:r>
    </w:p>
    <w:p>
      <w:pPr>
        <w:spacing w:after="0" w:line="182"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engagement efforts take place throughout the year through meetings, telephone calls, participation in conferences, and correspondence between our board members and/or senior management and representatives of our shareholders. The feedback we receive from our investors throughout our yearly engagement efforts is considered by our compensation committee in its discussions and decision-making.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2025 Decisions for Target Executive Pay Levels and Program Design</w:t>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Pay Program Element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Pay Philosophy Focused on Market Median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40" w:right="240"/>
        <w:spacing w:after="0" w:line="276" w:lineRule="auto"/>
        <w:rPr>
          <w:sz w:val="20"/>
          <w:szCs w:val="20"/>
          <w:color w:val="auto"/>
        </w:rPr>
      </w:pPr>
      <w:r>
        <w:rPr>
          <w:rFonts w:ascii="Times New Roman" w:cs="Times New Roman" w:eastAsia="Times New Roman" w:hAnsi="Times New Roman"/>
          <w:sz w:val="18"/>
          <w:szCs w:val="18"/>
          <w:b w:val="1"/>
          <w:bCs w:val="1"/>
          <w:color w:val="auto"/>
        </w:rPr>
        <w:t>Executive Compensation Benchmarking Peer Group (Committee decisions consider new consistent size- and industry- appropriate market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-133985</wp:posOffset>
            </wp:positionV>
            <wp:extent cx="7132320" cy="4637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pacing w:after="0" w:line="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compensation committee, supported by its independent compensation consultant, reviewed target pay levels, and considered potential changes to target annual pay levels, of our executives relative to our committee-approved executive compensation philosophy. In general, we intend for the target total pay of our executives, on average, to be positioned within a competitive range of market median for comparable roles.</w:t>
      </w:r>
    </w:p>
    <w:p>
      <w:pPr>
        <w:spacing w:after="0" w:line="20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Target total pay for our leadership team was found to be positioned between market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and median, on average, which was primarily the result of 2025 equity awards with below median target grant values. If an annualized portion of the special 2-year cash incentive is included, target total pay for our leadership team was found to be positioned near market median, aligned with our executive compensation philosophy. Our compensation committee reviews target pay levels for our leadership team versus market, and considers if changes are appropriate, on an annual basis, taking into account market benchmarking and other external and internal factors.</w:t>
      </w:r>
    </w:p>
    <w:p>
      <w:pPr>
        <w:spacing w:after="0" w:line="22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Over time, our intent is for the actual pay delivered to our executives to be commensurate (directionally aligned) with actual company financial performance outcomes and shareholder value creation, through an emphasis on performance-based pay.</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approved a peer group consisting of 12 public companies, considering input from its independent compensation consultant and management, against which it reviews benchmark comparisons for executive pay levels and pay practices. The peer group companies are all broadly similar to Nexxen in terms of size, business, operating characteristics and competition for executive talent. At 2025 year-end, Nexxen revenue and market capitalization were both positioned near peer group median (53rd and 56th percentile, respectively).</w:t>
      </w:r>
    </w:p>
    <w:p>
      <w:pPr>
        <w:spacing w:after="0" w:line="163" w:lineRule="exact"/>
        <w:rPr>
          <w:sz w:val="20"/>
          <w:szCs w:val="20"/>
          <w:color w:val="auto"/>
        </w:rPr>
      </w:pPr>
    </w:p>
    <w:p>
      <w:pPr>
        <w:sectPr>
          <w:pgSz w:w="11900" w:h="16838" w:orient="portrait"/>
          <w:cols w:equalWidth="0" w:num="2">
            <w:col w:w="5260" w:space="360"/>
            <w:col w:w="5580"/>
          </w:cols>
          <w:pgMar w:left="320" w:top="347" w:right="37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type w:val="continuous"/>
        </w:sectPr>
      </w:pPr>
    </w:p>
    <w:bookmarkStart w:id="75" w:name="page76"/>
    <w:bookmarkEnd w:id="75"/>
    <w:tbl>
      <w:tblPr>
        <w:tblLayout w:type="fixed"/>
        <w:tblInd w:w="1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Incentive Programs and Awards for our Executives</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4820" w:type="dxa"/>
            <w:vAlign w:val="bottom"/>
            <w:tcBorders>
              <w:left w:val="single" w:sz="8" w:color="auto"/>
              <w:bottom w:val="single" w:sz="8" w:color="auto"/>
              <w:right w:val="single" w:sz="8" w:color="auto"/>
            </w:tcBorders>
            <w:shd w:val="clear" w:color="auto" w:fill="000000"/>
          </w:tcPr>
          <w:p>
            <w:pPr>
              <w:ind w:left="80"/>
              <w:spacing w:after="0"/>
              <w:rPr>
                <w:sz w:val="20"/>
                <w:szCs w:val="20"/>
                <w:color w:val="auto"/>
              </w:rPr>
            </w:pPr>
            <w:r>
              <w:rPr>
                <w:rFonts w:ascii="Times New Roman" w:cs="Times New Roman" w:eastAsia="Times New Roman" w:hAnsi="Times New Roman"/>
                <w:sz w:val="18"/>
                <w:szCs w:val="18"/>
                <w:b w:val="1"/>
                <w:bCs w:val="1"/>
                <w:color w:val="FFFFFF"/>
              </w:rPr>
              <w:t>Pay Program Element</w:t>
            </w:r>
          </w:p>
        </w:tc>
        <w:tc>
          <w:tcPr>
            <w:tcW w:w="820" w:type="dxa"/>
            <w:vAlign w:val="bottom"/>
            <w:tcBorders>
              <w:bottom w:val="single" w:sz="8" w:color="auto"/>
              <w:right w:val="single" w:sz="8" w:color="auto"/>
            </w:tcBorders>
            <w:shd w:val="clear" w:color="auto" w:fill="000000"/>
          </w:tcPr>
          <w:p>
            <w:pPr>
              <w:spacing w:after="0"/>
              <w:rPr>
                <w:sz w:val="24"/>
                <w:szCs w:val="24"/>
                <w:color w:val="auto"/>
              </w:rPr>
            </w:pPr>
          </w:p>
        </w:tc>
        <w:tc>
          <w:tcPr>
            <w:tcW w:w="5600" w:type="dxa"/>
            <w:vAlign w:val="bottom"/>
            <w:tcBorders>
              <w:bottom w:val="single" w:sz="8" w:color="auto"/>
              <w:right w:val="single" w:sz="8" w:color="auto"/>
            </w:tcBorders>
            <w:gridSpan w:val="2"/>
            <w:shd w:val="clear" w:color="auto" w:fill="000000"/>
          </w:tcPr>
          <w:p>
            <w:pPr>
              <w:spacing w:after="0"/>
              <w:rPr>
                <w:sz w:val="20"/>
                <w:szCs w:val="20"/>
                <w:color w:val="auto"/>
              </w:rPr>
            </w:pPr>
            <w:r>
              <w:rPr>
                <w:rFonts w:ascii="Times New Roman" w:cs="Times New Roman" w:eastAsia="Times New Roman" w:hAnsi="Times New Roman"/>
                <w:sz w:val="18"/>
                <w:szCs w:val="18"/>
                <w:b w:val="1"/>
                <w:bCs w:val="1"/>
                <w:color w:val="FFFFFF"/>
              </w:rPr>
              <w:t>Description</w:t>
            </w:r>
          </w:p>
        </w:tc>
        <w:tc>
          <w:tcPr>
            <w:tcW w:w="0" w:type="dxa"/>
            <w:vAlign w:val="bottom"/>
          </w:tcPr>
          <w:p>
            <w:pPr>
              <w:spacing w:after="0"/>
              <w:rPr>
                <w:sz w:val="1"/>
                <w:szCs w:val="1"/>
                <w:color w:val="auto"/>
              </w:rPr>
            </w:pPr>
          </w:p>
        </w:tc>
      </w:tr>
      <w:tr>
        <w:trPr>
          <w:trHeight w:val="191"/>
        </w:trPr>
        <w:tc>
          <w:tcPr>
            <w:tcW w:w="4820" w:type="dxa"/>
            <w:vAlign w:val="bottom"/>
            <w:tcBorders>
              <w:top w:val="single" w:sz="8" w:color="auto"/>
              <w:left w:val="single" w:sz="8" w:color="auto"/>
              <w:right w:val="single" w:sz="8" w:color="D9D9D9"/>
            </w:tcBorders>
            <w:shd w:val="clear" w:color="auto" w:fill="D9D9D9"/>
          </w:tcPr>
          <w:p>
            <w:pPr>
              <w:ind w:left="80"/>
              <w:spacing w:after="0" w:line="191" w:lineRule="exact"/>
              <w:rPr>
                <w:sz w:val="20"/>
                <w:szCs w:val="20"/>
                <w:color w:val="auto"/>
              </w:rPr>
            </w:pPr>
            <w:r>
              <w:rPr>
                <w:rFonts w:ascii="Times New Roman" w:cs="Times New Roman" w:eastAsia="Times New Roman" w:hAnsi="Times New Roman"/>
                <w:sz w:val="18"/>
                <w:szCs w:val="18"/>
                <w:b w:val="1"/>
                <w:bCs w:val="1"/>
                <w:color w:val="auto"/>
              </w:rPr>
              <w:t>Bonus Program</w:t>
            </w:r>
          </w:p>
        </w:tc>
        <w:tc>
          <w:tcPr>
            <w:tcW w:w="820" w:type="dxa"/>
            <w:vAlign w:val="bottom"/>
            <w:tcBorders>
              <w:top w:val="single" w:sz="8" w:color="auto"/>
              <w:right w:val="single" w:sz="8" w:color="auto"/>
            </w:tcBorders>
            <w:shd w:val="clear" w:color="auto" w:fill="D9D9D9"/>
          </w:tcPr>
          <w:p>
            <w:pPr>
              <w:spacing w:after="0"/>
              <w:rPr>
                <w:sz w:val="16"/>
                <w:szCs w:val="16"/>
                <w:color w:val="auto"/>
              </w:rPr>
            </w:pPr>
          </w:p>
        </w:tc>
        <w:tc>
          <w:tcPr>
            <w:tcW w:w="5600" w:type="dxa"/>
            <w:vAlign w:val="bottom"/>
            <w:tcBorders>
              <w:top w:val="single" w:sz="8" w:color="auto"/>
              <w:right w:val="single" w:sz="8" w:color="auto"/>
            </w:tcBorders>
            <w:gridSpan w:val="2"/>
            <w:shd w:val="clear" w:color="auto" w:fill="D9D9D9"/>
          </w:tcPr>
          <w:p>
            <w:pPr>
              <w:ind w:left="300"/>
              <w:spacing w:after="0" w:line="191" w:lineRule="exact"/>
              <w:rPr>
                <w:sz w:val="20"/>
                <w:szCs w:val="20"/>
                <w:color w:val="auto"/>
              </w:rPr>
            </w:pPr>
            <w:r>
              <w:rPr>
                <w:rFonts w:ascii="Times New Roman" w:cs="Times New Roman" w:eastAsia="Times New Roman" w:hAnsi="Times New Roman"/>
                <w:sz w:val="18"/>
                <w:szCs w:val="18"/>
                <w:color w:val="auto"/>
              </w:rPr>
              <w:t>1)  Bonus program with pre-defined goals where payout can range from</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gridSpan w:val="2"/>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(pre-defined goals and potential payout leverage that encourage</w:t>
            </w:r>
          </w:p>
        </w:tc>
        <w:tc>
          <w:tcPr>
            <w:tcW w:w="540" w:type="dxa"/>
            <w:vAlign w:val="bottom"/>
            <w:shd w:val="clear" w:color="auto" w:fill="D9D9D9"/>
          </w:tcPr>
          <w:p>
            <w:pPr>
              <w:spacing w:after="0"/>
              <w:rPr>
                <w:sz w:val="18"/>
                <w:szCs w:val="18"/>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0% to 150% of individual-by-individual target ($) values; potential</w:t>
            </w:r>
          </w:p>
        </w:tc>
        <w:tc>
          <w:tcPr>
            <w:tcW w:w="0" w:type="dxa"/>
            <w:vAlign w:val="bottom"/>
          </w:tcPr>
          <w:p>
            <w:pPr>
              <w:spacing w:after="0"/>
              <w:rPr>
                <w:sz w:val="1"/>
                <w:szCs w:val="1"/>
                <w:color w:val="auto"/>
              </w:rPr>
            </w:pPr>
          </w:p>
        </w:tc>
      </w:tr>
      <w:tr>
        <w:trPr>
          <w:trHeight w:val="238"/>
        </w:trPr>
        <w:tc>
          <w:tcPr>
            <w:tcW w:w="4820" w:type="dxa"/>
            <w:vAlign w:val="bottom"/>
            <w:tcBorders>
              <w:left w:val="single" w:sz="8" w:color="auto"/>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outperformance vs. plan)</w:t>
            </w:r>
          </w:p>
        </w:tc>
        <w:tc>
          <w:tcPr>
            <w:tcW w:w="820" w:type="dxa"/>
            <w:vAlign w:val="bottom"/>
            <w:tcBorders>
              <w:right w:val="single" w:sz="8" w:color="auto"/>
            </w:tcBorders>
            <w:shd w:val="clear" w:color="auto" w:fill="D9D9D9"/>
          </w:tcPr>
          <w:p>
            <w:pPr>
              <w:spacing w:after="0"/>
              <w:rPr>
                <w:sz w:val="20"/>
                <w:szCs w:val="20"/>
                <w:color w:val="auto"/>
              </w:rPr>
            </w:pPr>
          </w:p>
        </w:tc>
        <w:tc>
          <w:tcPr>
            <w:tcW w:w="540" w:type="dxa"/>
            <w:vAlign w:val="bottom"/>
            <w:shd w:val="clear" w:color="auto" w:fill="D9D9D9"/>
          </w:tcPr>
          <w:p>
            <w:pPr>
              <w:spacing w:after="0"/>
              <w:rPr>
                <w:sz w:val="20"/>
                <w:szCs w:val="20"/>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for above target payout is very common market practice.</w:t>
            </w:r>
          </w:p>
        </w:tc>
        <w:tc>
          <w:tcPr>
            <w:tcW w:w="0" w:type="dxa"/>
            <w:vAlign w:val="bottom"/>
          </w:tcPr>
          <w:p>
            <w:pPr>
              <w:spacing w:after="0"/>
              <w:rPr>
                <w:sz w:val="1"/>
                <w:szCs w:val="1"/>
                <w:color w:val="auto"/>
              </w:rPr>
            </w:pPr>
          </w:p>
        </w:tc>
      </w:tr>
      <w:tr>
        <w:trPr>
          <w:trHeight w:val="459"/>
        </w:trPr>
        <w:tc>
          <w:tcPr>
            <w:tcW w:w="4820" w:type="dxa"/>
            <w:vAlign w:val="bottom"/>
            <w:tcBorders>
              <w:left w:val="single" w:sz="8" w:color="auto"/>
              <w:right w:val="single" w:sz="8" w:color="D9D9D9"/>
            </w:tcBorders>
            <w:shd w:val="clear" w:color="auto" w:fill="D9D9D9"/>
          </w:tcPr>
          <w:p>
            <w:pPr>
              <w:spacing w:after="0"/>
              <w:rPr>
                <w:sz w:val="24"/>
                <w:szCs w:val="24"/>
                <w:color w:val="auto"/>
              </w:rPr>
            </w:pPr>
          </w:p>
        </w:tc>
        <w:tc>
          <w:tcPr>
            <w:tcW w:w="820" w:type="dxa"/>
            <w:vAlign w:val="bottom"/>
            <w:tcBorders>
              <w:right w:val="single" w:sz="8" w:color="auto"/>
            </w:tcBorders>
            <w:shd w:val="clear" w:color="auto" w:fill="D9D9D9"/>
          </w:tcPr>
          <w:p>
            <w:pPr>
              <w:spacing w:after="0"/>
              <w:rPr>
                <w:sz w:val="24"/>
                <w:szCs w:val="24"/>
                <w:color w:val="auto"/>
              </w:rPr>
            </w:pPr>
          </w:p>
        </w:tc>
        <w:tc>
          <w:tcPr>
            <w:tcW w:w="5600" w:type="dxa"/>
            <w:vAlign w:val="bottom"/>
            <w:tcBorders>
              <w:right w:val="single" w:sz="8" w:color="auto"/>
            </w:tcBorders>
            <w:gridSpan w:val="2"/>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2)  Revenue metric weighted 65% and EBITDA metric weighted 35%.</w:t>
            </w:r>
          </w:p>
        </w:tc>
        <w:tc>
          <w:tcPr>
            <w:tcW w:w="0" w:type="dxa"/>
            <w:vAlign w:val="bottom"/>
          </w:tcPr>
          <w:p>
            <w:pPr>
              <w:spacing w:after="0"/>
              <w:rPr>
                <w:sz w:val="1"/>
                <w:szCs w:val="1"/>
                <w:color w:val="auto"/>
              </w:rPr>
            </w:pPr>
          </w:p>
        </w:tc>
      </w:tr>
      <w:tr>
        <w:trPr>
          <w:trHeight w:val="236"/>
        </w:trPr>
        <w:tc>
          <w:tcPr>
            <w:tcW w:w="482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820" w:type="dxa"/>
            <w:vAlign w:val="bottom"/>
            <w:tcBorders>
              <w:bottom w:val="single" w:sz="8" w:color="auto"/>
              <w:right w:val="single" w:sz="8" w:color="auto"/>
            </w:tcBorders>
            <w:shd w:val="clear" w:color="auto" w:fill="D9D9D9"/>
          </w:tcPr>
          <w:p>
            <w:pPr>
              <w:spacing w:after="0"/>
              <w:rPr>
                <w:sz w:val="20"/>
                <w:szCs w:val="20"/>
                <w:color w:val="auto"/>
              </w:rPr>
            </w:pPr>
          </w:p>
        </w:tc>
        <w:tc>
          <w:tcPr>
            <w:tcW w:w="5600" w:type="dxa"/>
            <w:vAlign w:val="bottom"/>
            <w:tcBorders>
              <w:bottom w:val="single" w:sz="8" w:color="auto"/>
              <w:right w:val="single" w:sz="8" w:color="auto"/>
            </w:tcBorders>
            <w:gridSpan w:val="2"/>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Equity Awards (no single-trigger grants)</w:t>
            </w:r>
          </w:p>
        </w:tc>
        <w:tc>
          <w:tcPr>
            <w:tcW w:w="8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All equity grants included double-trigger change-in-control vesting</w:t>
            </w:r>
          </w:p>
        </w:tc>
        <w:tc>
          <w:tcPr>
            <w:tcW w:w="0" w:type="dxa"/>
            <w:vAlign w:val="bottom"/>
          </w:tcPr>
          <w:p>
            <w:pPr>
              <w:spacing w:after="0"/>
              <w:rPr>
                <w:sz w:val="1"/>
                <w:szCs w:val="1"/>
                <w:color w:val="auto"/>
              </w:rPr>
            </w:pPr>
          </w:p>
        </w:tc>
      </w:tr>
      <w:tr>
        <w:trPr>
          <w:trHeight w:val="241"/>
        </w:trPr>
        <w:tc>
          <w:tcPr>
            <w:tcW w:w="4820" w:type="dxa"/>
            <w:vAlign w:val="bottom"/>
            <w:tcBorders>
              <w:left w:val="single" w:sz="8" w:color="auto"/>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0" w:type="dxa"/>
            <w:vAlign w:val="bottom"/>
          </w:tcPr>
          <w:p>
            <w:pPr>
              <w:spacing w:after="0"/>
              <w:rPr>
                <w:sz w:val="1"/>
                <w:szCs w:val="1"/>
                <w:color w:val="auto"/>
              </w:rPr>
            </w:pPr>
          </w:p>
        </w:tc>
      </w:tr>
      <w:tr>
        <w:trPr>
          <w:trHeight w:val="211"/>
        </w:trPr>
        <w:tc>
          <w:tcPr>
            <w:tcW w:w="4820" w:type="dxa"/>
            <w:vAlign w:val="bottom"/>
            <w:tcBorders>
              <w:left w:val="single" w:sz="8" w:color="auto"/>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 Share Units (PSUs)</w:t>
            </w:r>
          </w:p>
        </w:tc>
        <w:tc>
          <w:tcPr>
            <w:tcW w:w="820" w:type="dxa"/>
            <w:vAlign w:val="bottom"/>
            <w:tcBorders>
              <w:right w:val="single" w:sz="8" w:color="auto"/>
            </w:tcBorders>
            <w:shd w:val="clear" w:color="auto" w:fill="D9D9D9"/>
          </w:tcPr>
          <w:p>
            <w:pPr>
              <w:spacing w:after="0"/>
              <w:rPr>
                <w:sz w:val="18"/>
                <w:szCs w:val="18"/>
                <w:color w:val="auto"/>
              </w:rPr>
            </w:pPr>
          </w:p>
        </w:tc>
        <w:tc>
          <w:tcPr>
            <w:tcW w:w="5600" w:type="dxa"/>
            <w:vAlign w:val="bottom"/>
            <w:tcBorders>
              <w:right w:val="single" w:sz="8" w:color="auto"/>
            </w:tcBorders>
            <w:gridSpan w:val="2"/>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1)   2025 grants had multi-year performance and vesting periods (2-</w:t>
            </w: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right w:val="single" w:sz="8" w:color="auto"/>
            </w:tcBorders>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(pre-defined multi-year goals that encourage outperformance vs. plan</w:t>
            </w:r>
          </w:p>
        </w:tc>
        <w:tc>
          <w:tcPr>
            <w:tcW w:w="540" w:type="dxa"/>
            <w:vAlign w:val="bottom"/>
            <w:shd w:val="clear" w:color="auto" w:fill="D9D9D9"/>
          </w:tcPr>
          <w:p>
            <w:pPr>
              <w:spacing w:after="0"/>
              <w:rPr>
                <w:sz w:val="18"/>
                <w:szCs w:val="18"/>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and 3-years), with 2-year weighting 67% and 3-year weighted 33%</w:t>
            </w:r>
          </w:p>
        </w:tc>
        <w:tc>
          <w:tcPr>
            <w:tcW w:w="0" w:type="dxa"/>
            <w:vAlign w:val="bottom"/>
          </w:tcPr>
          <w:p>
            <w:pPr>
              <w:spacing w:after="0"/>
              <w:rPr>
                <w:sz w:val="1"/>
                <w:szCs w:val="1"/>
                <w:color w:val="auto"/>
              </w:rPr>
            </w:pPr>
          </w:p>
        </w:tc>
      </w:tr>
      <w:tr>
        <w:trPr>
          <w:trHeight w:val="225"/>
        </w:trPr>
        <w:tc>
          <w:tcPr>
            <w:tcW w:w="5640" w:type="dxa"/>
            <w:vAlign w:val="bottom"/>
            <w:tcBorders>
              <w:left w:val="single" w:sz="8" w:color="auto"/>
              <w:right w:val="single" w:sz="8" w:color="auto"/>
            </w:tcBorders>
            <w:gridSpan w:val="2"/>
            <w:vMerge w:val="continue"/>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for all leadership team members except CEO, with pre-defined</w:t>
            </w:r>
          </w:p>
        </w:tc>
        <w:tc>
          <w:tcPr>
            <w:tcW w:w="0" w:type="dxa"/>
            <w:vAlign w:val="bottom"/>
          </w:tcPr>
          <w:p>
            <w:pPr>
              <w:spacing w:after="0"/>
              <w:rPr>
                <w:sz w:val="1"/>
                <w:szCs w:val="1"/>
                <w:color w:val="auto"/>
              </w:rPr>
            </w:pPr>
          </w:p>
        </w:tc>
      </w:tr>
      <w:tr>
        <w:trPr>
          <w:trHeight w:val="233"/>
        </w:trPr>
        <w:tc>
          <w:tcPr>
            <w:tcW w:w="4820" w:type="dxa"/>
            <w:vAlign w:val="bottom"/>
            <w:tcBorders>
              <w:left w:val="single" w:sz="8" w:color="auto"/>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and market)</w:t>
            </w:r>
          </w:p>
        </w:tc>
        <w:tc>
          <w:tcPr>
            <w:tcW w:w="820" w:type="dxa"/>
            <w:vAlign w:val="bottom"/>
            <w:tcBorders>
              <w:right w:val="single" w:sz="8" w:color="auto"/>
            </w:tcBorders>
            <w:shd w:val="clear" w:color="auto" w:fill="D9D9D9"/>
          </w:tcPr>
          <w:p>
            <w:pPr>
              <w:spacing w:after="0"/>
              <w:rPr>
                <w:sz w:val="20"/>
                <w:szCs w:val="20"/>
                <w:color w:val="auto"/>
              </w:rPr>
            </w:pPr>
          </w:p>
        </w:tc>
        <w:tc>
          <w:tcPr>
            <w:tcW w:w="540" w:type="dxa"/>
            <w:vAlign w:val="bottom"/>
            <w:shd w:val="clear" w:color="auto" w:fill="D9D9D9"/>
          </w:tcPr>
          <w:p>
            <w:pPr>
              <w:spacing w:after="0"/>
              <w:rPr>
                <w:sz w:val="20"/>
                <w:szCs w:val="20"/>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EBITDA and relative Total Shareholder Return (“TSR”) goals. The</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right w:val="single" w:sz="8" w:color="D9D9D9"/>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(absolute and relative performance metrics)</w:t>
            </w:r>
          </w:p>
        </w:tc>
        <w:tc>
          <w:tcPr>
            <w:tcW w:w="820" w:type="dxa"/>
            <w:vAlign w:val="bottom"/>
            <w:tcBorders>
              <w:right w:val="single" w:sz="8" w:color="auto"/>
            </w:tcBorders>
            <w:shd w:val="clear" w:color="auto" w:fill="D9D9D9"/>
          </w:tcPr>
          <w:p>
            <w:pPr>
              <w:spacing w:after="0"/>
              <w:rPr>
                <w:sz w:val="18"/>
                <w:szCs w:val="18"/>
                <w:color w:val="auto"/>
              </w:rPr>
            </w:pPr>
          </w:p>
        </w:tc>
        <w:tc>
          <w:tcPr>
            <w:tcW w:w="540" w:type="dxa"/>
            <w:vAlign w:val="bottom"/>
            <w:shd w:val="clear" w:color="auto" w:fill="D9D9D9"/>
          </w:tcPr>
          <w:p>
            <w:pPr>
              <w:spacing w:after="0"/>
              <w:rPr>
                <w:sz w:val="18"/>
                <w:szCs w:val="18"/>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metrics were selected given the importance we place on EBITDA</w:t>
            </w:r>
          </w:p>
        </w:tc>
        <w:tc>
          <w:tcPr>
            <w:tcW w:w="0" w:type="dxa"/>
            <w:vAlign w:val="bottom"/>
          </w:tcPr>
          <w:p>
            <w:pPr>
              <w:spacing w:after="0"/>
              <w:rPr>
                <w:sz w:val="1"/>
                <w:szCs w:val="1"/>
                <w:color w:val="auto"/>
              </w:rPr>
            </w:pPr>
          </w:p>
        </w:tc>
      </w:tr>
      <w:tr>
        <w:trPr>
          <w:trHeight w:val="229"/>
        </w:trPr>
        <w:tc>
          <w:tcPr>
            <w:tcW w:w="4820" w:type="dxa"/>
            <w:vAlign w:val="bottom"/>
            <w:tcBorders>
              <w:left w:val="single" w:sz="8" w:color="auto"/>
              <w:right w:val="single" w:sz="8" w:color="D9D9D9"/>
            </w:tcBorders>
            <w:vMerge w:val="continue"/>
            <w:shd w:val="clear" w:color="auto" w:fill="D9D9D9"/>
          </w:tcPr>
          <w:p>
            <w:pPr>
              <w:spacing w:after="0"/>
              <w:rPr>
                <w:sz w:val="19"/>
                <w:szCs w:val="19"/>
                <w:color w:val="auto"/>
              </w:rPr>
            </w:pPr>
          </w:p>
        </w:tc>
        <w:tc>
          <w:tcPr>
            <w:tcW w:w="820" w:type="dxa"/>
            <w:vAlign w:val="bottom"/>
            <w:tcBorders>
              <w:right w:val="single" w:sz="8" w:color="auto"/>
            </w:tcBorders>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growth in achieving our multi-year objectives, and also to balance</w:t>
            </w:r>
          </w:p>
        </w:tc>
        <w:tc>
          <w:tcPr>
            <w:tcW w:w="0" w:type="dxa"/>
            <w:vAlign w:val="bottom"/>
          </w:tcPr>
          <w:p>
            <w:pPr>
              <w:spacing w:after="0"/>
              <w:rPr>
                <w:sz w:val="1"/>
                <w:szCs w:val="1"/>
                <w:color w:val="auto"/>
              </w:rPr>
            </w:pPr>
          </w:p>
        </w:tc>
      </w:tr>
      <w:tr>
        <w:trPr>
          <w:trHeight w:val="229"/>
        </w:trPr>
        <w:tc>
          <w:tcPr>
            <w:tcW w:w="4820" w:type="dxa"/>
            <w:vAlign w:val="bottom"/>
            <w:tcBorders>
              <w:left w:val="single" w:sz="8" w:color="auto"/>
              <w:right w:val="single" w:sz="8" w:color="D9D9D9"/>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(reinforce importance of share price performance)</w:t>
            </w:r>
          </w:p>
        </w:tc>
        <w:tc>
          <w:tcPr>
            <w:tcW w:w="820" w:type="dxa"/>
            <w:vAlign w:val="bottom"/>
            <w:tcBorders>
              <w:right w:val="single" w:sz="8" w:color="auto"/>
            </w:tcBorders>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line-of-sight for our executives with a clear emphasis on the</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D9D9D9"/>
            </w:tcBorders>
            <w:vMerge w:val="continue"/>
            <w:shd w:val="clear" w:color="auto" w:fill="D9D9D9"/>
          </w:tcPr>
          <w:p>
            <w:pPr>
              <w:spacing w:after="0"/>
              <w:rPr>
                <w:sz w:val="20"/>
                <w:szCs w:val="20"/>
                <w:color w:val="auto"/>
              </w:rPr>
            </w:pPr>
          </w:p>
        </w:tc>
        <w:tc>
          <w:tcPr>
            <w:tcW w:w="820" w:type="dxa"/>
            <w:vAlign w:val="bottom"/>
            <w:tcBorders>
              <w:right w:val="single" w:sz="8" w:color="auto"/>
            </w:tcBorders>
            <w:shd w:val="clear" w:color="auto" w:fill="D9D9D9"/>
          </w:tcPr>
          <w:p>
            <w:pPr>
              <w:spacing w:after="0"/>
              <w:rPr>
                <w:sz w:val="20"/>
                <w:szCs w:val="20"/>
                <w:color w:val="auto"/>
              </w:rPr>
            </w:pPr>
          </w:p>
        </w:tc>
        <w:tc>
          <w:tcPr>
            <w:tcW w:w="540" w:type="dxa"/>
            <w:vAlign w:val="bottom"/>
            <w:shd w:val="clear" w:color="auto" w:fill="D9D9D9"/>
          </w:tcPr>
          <w:p>
            <w:pPr>
              <w:spacing w:after="0"/>
              <w:rPr>
                <w:sz w:val="20"/>
                <w:szCs w:val="20"/>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importance of both absolute and relative share price performance.</w:t>
            </w:r>
          </w:p>
        </w:tc>
        <w:tc>
          <w:tcPr>
            <w:tcW w:w="0" w:type="dxa"/>
            <w:vAlign w:val="bottom"/>
          </w:tcPr>
          <w:p>
            <w:pPr>
              <w:spacing w:after="0"/>
              <w:rPr>
                <w:sz w:val="1"/>
                <w:szCs w:val="1"/>
                <w:color w:val="auto"/>
              </w:rPr>
            </w:pPr>
          </w:p>
        </w:tc>
      </w:tr>
      <w:tr>
        <w:trPr>
          <w:trHeight w:val="441"/>
        </w:trPr>
        <w:tc>
          <w:tcPr>
            <w:tcW w:w="4820" w:type="dxa"/>
            <w:vAlign w:val="bottom"/>
            <w:tcBorders>
              <w:left w:val="single" w:sz="8" w:color="auto"/>
              <w:right w:val="single" w:sz="8" w:color="D9D9D9"/>
            </w:tcBorders>
            <w:shd w:val="clear" w:color="auto" w:fill="D9D9D9"/>
          </w:tcPr>
          <w:p>
            <w:pPr>
              <w:spacing w:after="0"/>
              <w:rPr>
                <w:sz w:val="24"/>
                <w:szCs w:val="24"/>
                <w:color w:val="auto"/>
              </w:rPr>
            </w:pPr>
          </w:p>
        </w:tc>
        <w:tc>
          <w:tcPr>
            <w:tcW w:w="820" w:type="dxa"/>
            <w:vAlign w:val="bottom"/>
            <w:tcBorders>
              <w:right w:val="single" w:sz="8" w:color="auto"/>
            </w:tcBorders>
            <w:shd w:val="clear" w:color="auto" w:fill="D9D9D9"/>
          </w:tcPr>
          <w:p>
            <w:pPr>
              <w:spacing w:after="0"/>
              <w:rPr>
                <w:sz w:val="24"/>
                <w:szCs w:val="24"/>
                <w:color w:val="auto"/>
              </w:rPr>
            </w:pPr>
          </w:p>
        </w:tc>
        <w:tc>
          <w:tcPr>
            <w:tcW w:w="5600" w:type="dxa"/>
            <w:vAlign w:val="bottom"/>
            <w:tcBorders>
              <w:right w:val="single" w:sz="8" w:color="auto"/>
            </w:tcBorders>
            <w:gridSpan w:val="2"/>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2)   Payout may range from 0% to 150% of target share units based on</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right w:val="single" w:sz="8" w:color="D9D9D9"/>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540" w:type="dxa"/>
            <w:vAlign w:val="bottom"/>
            <w:shd w:val="clear" w:color="auto" w:fill="D9D9D9"/>
          </w:tcPr>
          <w:p>
            <w:pPr>
              <w:spacing w:after="0"/>
              <w:rPr>
                <w:sz w:val="18"/>
                <w:szCs w:val="18"/>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actual results versus pre-defined threshold, target, and maximum</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D9D9D9"/>
            </w:tcBorders>
            <w:shd w:val="clear" w:color="auto" w:fill="D9D9D9"/>
          </w:tcPr>
          <w:p>
            <w:pPr>
              <w:spacing w:after="0"/>
              <w:rPr>
                <w:sz w:val="20"/>
                <w:szCs w:val="20"/>
                <w:color w:val="auto"/>
              </w:rPr>
            </w:pPr>
          </w:p>
        </w:tc>
        <w:tc>
          <w:tcPr>
            <w:tcW w:w="820" w:type="dxa"/>
            <w:vAlign w:val="bottom"/>
            <w:tcBorders>
              <w:right w:val="single" w:sz="8" w:color="auto"/>
            </w:tcBorders>
            <w:shd w:val="clear" w:color="auto" w:fill="D9D9D9"/>
          </w:tcPr>
          <w:p>
            <w:pPr>
              <w:spacing w:after="0"/>
              <w:rPr>
                <w:sz w:val="20"/>
                <w:szCs w:val="20"/>
                <w:color w:val="auto"/>
              </w:rPr>
            </w:pPr>
          </w:p>
        </w:tc>
        <w:tc>
          <w:tcPr>
            <w:tcW w:w="540" w:type="dxa"/>
            <w:vAlign w:val="bottom"/>
            <w:shd w:val="clear" w:color="auto" w:fill="D9D9D9"/>
          </w:tcPr>
          <w:p>
            <w:pPr>
              <w:spacing w:after="0"/>
              <w:rPr>
                <w:sz w:val="20"/>
                <w:szCs w:val="20"/>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performance goals.</w:t>
            </w:r>
          </w:p>
        </w:tc>
        <w:tc>
          <w:tcPr>
            <w:tcW w:w="0" w:type="dxa"/>
            <w:vAlign w:val="bottom"/>
          </w:tcPr>
          <w:p>
            <w:pPr>
              <w:spacing w:after="0"/>
              <w:rPr>
                <w:sz w:val="1"/>
                <w:szCs w:val="1"/>
                <w:color w:val="auto"/>
              </w:rPr>
            </w:pPr>
          </w:p>
        </w:tc>
      </w:tr>
      <w:tr>
        <w:trPr>
          <w:trHeight w:val="441"/>
        </w:trPr>
        <w:tc>
          <w:tcPr>
            <w:tcW w:w="4820" w:type="dxa"/>
            <w:vAlign w:val="bottom"/>
            <w:tcBorders>
              <w:left w:val="single" w:sz="8" w:color="auto"/>
              <w:right w:val="single" w:sz="8" w:color="D9D9D9"/>
            </w:tcBorders>
            <w:shd w:val="clear" w:color="auto" w:fill="D9D9D9"/>
          </w:tcPr>
          <w:p>
            <w:pPr>
              <w:spacing w:after="0"/>
              <w:rPr>
                <w:sz w:val="24"/>
                <w:szCs w:val="24"/>
                <w:color w:val="auto"/>
              </w:rPr>
            </w:pPr>
          </w:p>
        </w:tc>
        <w:tc>
          <w:tcPr>
            <w:tcW w:w="820" w:type="dxa"/>
            <w:vAlign w:val="bottom"/>
            <w:tcBorders>
              <w:right w:val="single" w:sz="8" w:color="auto"/>
            </w:tcBorders>
            <w:shd w:val="clear" w:color="auto" w:fill="D9D9D9"/>
          </w:tcPr>
          <w:p>
            <w:pPr>
              <w:spacing w:after="0"/>
              <w:rPr>
                <w:sz w:val="24"/>
                <w:szCs w:val="24"/>
                <w:color w:val="auto"/>
              </w:rPr>
            </w:pPr>
          </w:p>
        </w:tc>
        <w:tc>
          <w:tcPr>
            <w:tcW w:w="540" w:type="dxa"/>
            <w:vAlign w:val="bottom"/>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506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For EBITDA, weighted 50%, “target” payout aligns with achieving</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D9D9D9"/>
            </w:tcBorders>
            <w:shd w:val="clear" w:color="auto" w:fill="D9D9D9"/>
          </w:tcPr>
          <w:p>
            <w:pPr>
              <w:spacing w:after="0"/>
              <w:rPr>
                <w:sz w:val="20"/>
                <w:szCs w:val="20"/>
                <w:color w:val="auto"/>
              </w:rPr>
            </w:pPr>
          </w:p>
        </w:tc>
        <w:tc>
          <w:tcPr>
            <w:tcW w:w="820" w:type="dxa"/>
            <w:vAlign w:val="bottom"/>
            <w:tcBorders>
              <w:right w:val="single" w:sz="8" w:color="auto"/>
            </w:tcBorders>
            <w:shd w:val="clear" w:color="auto" w:fill="D9D9D9"/>
          </w:tcPr>
          <w:p>
            <w:pPr>
              <w:spacing w:after="0"/>
              <w:rPr>
                <w:sz w:val="20"/>
                <w:szCs w:val="20"/>
                <w:color w:val="auto"/>
              </w:rPr>
            </w:pPr>
          </w:p>
        </w:tc>
        <w:tc>
          <w:tcPr>
            <w:tcW w:w="540" w:type="dxa"/>
            <w:vAlign w:val="bottom"/>
            <w:shd w:val="clear" w:color="auto" w:fill="D9D9D9"/>
          </w:tcPr>
          <w:p>
            <w:pPr>
              <w:spacing w:after="0"/>
              <w:rPr>
                <w:sz w:val="20"/>
                <w:szCs w:val="20"/>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budget/Plan for the performance period.</w:t>
            </w:r>
          </w:p>
        </w:tc>
        <w:tc>
          <w:tcPr>
            <w:tcW w:w="0" w:type="dxa"/>
            <w:vAlign w:val="bottom"/>
          </w:tcPr>
          <w:p>
            <w:pPr>
              <w:spacing w:after="0"/>
              <w:rPr>
                <w:sz w:val="1"/>
                <w:szCs w:val="1"/>
                <w:color w:val="auto"/>
              </w:rPr>
            </w:pPr>
          </w:p>
        </w:tc>
      </w:tr>
      <w:tr>
        <w:trPr>
          <w:trHeight w:val="441"/>
        </w:trPr>
        <w:tc>
          <w:tcPr>
            <w:tcW w:w="4820" w:type="dxa"/>
            <w:vAlign w:val="bottom"/>
            <w:tcBorders>
              <w:left w:val="single" w:sz="8" w:color="auto"/>
              <w:right w:val="single" w:sz="8" w:color="D9D9D9"/>
            </w:tcBorders>
            <w:shd w:val="clear" w:color="auto" w:fill="D9D9D9"/>
          </w:tcPr>
          <w:p>
            <w:pPr>
              <w:spacing w:after="0"/>
              <w:rPr>
                <w:sz w:val="24"/>
                <w:szCs w:val="24"/>
                <w:color w:val="auto"/>
              </w:rPr>
            </w:pPr>
          </w:p>
        </w:tc>
        <w:tc>
          <w:tcPr>
            <w:tcW w:w="820" w:type="dxa"/>
            <w:vAlign w:val="bottom"/>
            <w:tcBorders>
              <w:right w:val="single" w:sz="8" w:color="auto"/>
            </w:tcBorders>
            <w:shd w:val="clear" w:color="auto" w:fill="D9D9D9"/>
          </w:tcPr>
          <w:p>
            <w:pPr>
              <w:spacing w:after="0"/>
              <w:rPr>
                <w:sz w:val="24"/>
                <w:szCs w:val="24"/>
                <w:color w:val="auto"/>
              </w:rPr>
            </w:pPr>
          </w:p>
        </w:tc>
        <w:tc>
          <w:tcPr>
            <w:tcW w:w="540" w:type="dxa"/>
            <w:vAlign w:val="bottom"/>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506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For relative TSR, weighted 50%, “target” payout is provided for</w:t>
            </w:r>
          </w:p>
        </w:tc>
        <w:tc>
          <w:tcPr>
            <w:tcW w:w="0" w:type="dxa"/>
            <w:vAlign w:val="bottom"/>
          </w:tcPr>
          <w:p>
            <w:pPr>
              <w:spacing w:after="0"/>
              <w:rPr>
                <w:sz w:val="1"/>
                <w:szCs w:val="1"/>
                <w:color w:val="auto"/>
              </w:rPr>
            </w:pPr>
          </w:p>
        </w:tc>
      </w:tr>
      <w:tr>
        <w:trPr>
          <w:trHeight w:val="229"/>
        </w:trPr>
        <w:tc>
          <w:tcPr>
            <w:tcW w:w="4820" w:type="dxa"/>
            <w:vAlign w:val="bottom"/>
            <w:tcBorders>
              <w:left w:val="single" w:sz="8" w:color="auto"/>
              <w:right w:val="single" w:sz="8" w:color="D9D9D9"/>
            </w:tcBorders>
            <w:shd w:val="clear" w:color="auto" w:fill="D9D9D9"/>
          </w:tcPr>
          <w:p>
            <w:pPr>
              <w:spacing w:after="0"/>
              <w:rPr>
                <w:sz w:val="19"/>
                <w:szCs w:val="19"/>
                <w:color w:val="auto"/>
              </w:rPr>
            </w:pPr>
          </w:p>
        </w:tc>
        <w:tc>
          <w:tcPr>
            <w:tcW w:w="820" w:type="dxa"/>
            <w:vAlign w:val="bottom"/>
            <w:tcBorders>
              <w:right w:val="single" w:sz="8" w:color="auto"/>
            </w:tcBorders>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median performance versus our executive compensation</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right w:val="single" w:sz="8" w:color="D9D9D9"/>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540" w:type="dxa"/>
            <w:vAlign w:val="bottom"/>
            <w:shd w:val="clear" w:color="auto" w:fill="D9D9D9"/>
          </w:tcPr>
          <w:p>
            <w:pPr>
              <w:spacing w:after="0"/>
              <w:rPr>
                <w:sz w:val="18"/>
                <w:szCs w:val="18"/>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benchmarking peer group (see below for detail); maximum payout</w:t>
            </w:r>
          </w:p>
        </w:tc>
        <w:tc>
          <w:tcPr>
            <w:tcW w:w="0" w:type="dxa"/>
            <w:vAlign w:val="bottom"/>
          </w:tcPr>
          <w:p>
            <w:pPr>
              <w:spacing w:after="0"/>
              <w:rPr>
                <w:sz w:val="1"/>
                <w:szCs w:val="1"/>
                <w:color w:val="auto"/>
              </w:rPr>
            </w:pPr>
          </w:p>
        </w:tc>
      </w:tr>
      <w:tr>
        <w:trPr>
          <w:trHeight w:val="220"/>
        </w:trPr>
        <w:tc>
          <w:tcPr>
            <w:tcW w:w="4820" w:type="dxa"/>
            <w:vAlign w:val="bottom"/>
            <w:tcBorders>
              <w:left w:val="single" w:sz="8" w:color="auto"/>
              <w:right w:val="single" w:sz="8" w:color="D9D9D9"/>
            </w:tcBorders>
            <w:shd w:val="clear" w:color="auto" w:fill="D9D9D9"/>
          </w:tcPr>
          <w:p>
            <w:pPr>
              <w:spacing w:after="0"/>
              <w:rPr>
                <w:sz w:val="19"/>
                <w:szCs w:val="19"/>
                <w:color w:val="auto"/>
              </w:rPr>
            </w:pPr>
          </w:p>
        </w:tc>
        <w:tc>
          <w:tcPr>
            <w:tcW w:w="820" w:type="dxa"/>
            <w:vAlign w:val="bottom"/>
            <w:tcBorders>
              <w:right w:val="single" w:sz="8" w:color="auto"/>
            </w:tcBorders>
            <w:shd w:val="clear" w:color="auto" w:fill="D9D9D9"/>
          </w:tcPr>
          <w:p>
            <w:pPr>
              <w:spacing w:after="0"/>
              <w:rPr>
                <w:sz w:val="19"/>
                <w:szCs w:val="19"/>
                <w:color w:val="auto"/>
              </w:rPr>
            </w:pPr>
          </w:p>
        </w:tc>
        <w:tc>
          <w:tcPr>
            <w:tcW w:w="540" w:type="dxa"/>
            <w:vAlign w:val="bottom"/>
            <w:shd w:val="clear" w:color="auto" w:fill="D9D9D9"/>
          </w:tcPr>
          <w:p>
            <w:pPr>
              <w:spacing w:after="0"/>
              <w:rPr>
                <w:sz w:val="19"/>
                <w:szCs w:val="19"/>
                <w:color w:val="auto"/>
              </w:rPr>
            </w:pPr>
          </w:p>
        </w:tc>
        <w:tc>
          <w:tcPr>
            <w:tcW w:w="50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(150% of target) is provided for top quartile relative TSR metric;</w:t>
            </w:r>
          </w:p>
        </w:tc>
        <w:tc>
          <w:tcPr>
            <w:tcW w:w="0" w:type="dxa"/>
            <w:vAlign w:val="bottom"/>
          </w:tcPr>
          <w:p>
            <w:pPr>
              <w:spacing w:after="0"/>
              <w:rPr>
                <w:sz w:val="1"/>
                <w:szCs w:val="1"/>
                <w:color w:val="auto"/>
              </w:rPr>
            </w:pPr>
          </w:p>
        </w:tc>
      </w:tr>
      <w:tr>
        <w:trPr>
          <w:trHeight w:val="239"/>
        </w:trPr>
        <w:tc>
          <w:tcPr>
            <w:tcW w:w="4820" w:type="dxa"/>
            <w:vAlign w:val="bottom"/>
            <w:tcBorders>
              <w:left w:val="single" w:sz="8" w:color="auto"/>
              <w:right w:val="single" w:sz="8" w:color="D9D9D9"/>
            </w:tcBorders>
            <w:shd w:val="clear" w:color="auto" w:fill="D9D9D9"/>
          </w:tcPr>
          <w:p>
            <w:pPr>
              <w:spacing w:after="0"/>
              <w:rPr>
                <w:sz w:val="20"/>
                <w:szCs w:val="20"/>
                <w:color w:val="auto"/>
              </w:rPr>
            </w:pPr>
          </w:p>
        </w:tc>
        <w:tc>
          <w:tcPr>
            <w:tcW w:w="820" w:type="dxa"/>
            <w:vAlign w:val="bottom"/>
            <w:tcBorders>
              <w:right w:val="single" w:sz="8" w:color="auto"/>
            </w:tcBorders>
            <w:shd w:val="clear" w:color="auto" w:fill="D9D9D9"/>
          </w:tcPr>
          <w:p>
            <w:pPr>
              <w:spacing w:after="0"/>
              <w:rPr>
                <w:sz w:val="20"/>
                <w:szCs w:val="20"/>
                <w:color w:val="auto"/>
              </w:rPr>
            </w:pPr>
          </w:p>
        </w:tc>
        <w:tc>
          <w:tcPr>
            <w:tcW w:w="540" w:type="dxa"/>
            <w:vAlign w:val="bottom"/>
            <w:shd w:val="clear" w:color="auto" w:fill="D9D9D9"/>
          </w:tcPr>
          <w:p>
            <w:pPr>
              <w:spacing w:after="0"/>
              <w:rPr>
                <w:sz w:val="20"/>
                <w:szCs w:val="20"/>
                <w:color w:val="auto"/>
              </w:rPr>
            </w:pPr>
          </w:p>
        </w:tc>
        <w:tc>
          <w:tcPr>
            <w:tcW w:w="5060" w:type="dxa"/>
            <w:vAlign w:val="bottom"/>
            <w:tcBorders>
              <w:right w:val="single" w:sz="8" w:color="auto"/>
            </w:tcBorders>
            <w:shd w:val="clear" w:color="auto" w:fill="D9D9D9"/>
          </w:tcPr>
          <w:p>
            <w:pPr>
              <w:ind w:left="100"/>
              <w:spacing w:after="0" w:line="239" w:lineRule="exact"/>
              <w:rPr>
                <w:sz w:val="20"/>
                <w:szCs w:val="20"/>
                <w:color w:val="auto"/>
              </w:rPr>
            </w:pPr>
            <w:r>
              <w:rPr>
                <w:rFonts w:ascii="Times New Roman" w:cs="Times New Roman" w:eastAsia="Times New Roman" w:hAnsi="Times New Roman"/>
                <w:sz w:val="17"/>
                <w:szCs w:val="17"/>
                <w:color w:val="auto"/>
              </w:rPr>
              <w:t>threshold payout (50% of target) is provided for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relative TSR;</w:t>
            </w:r>
          </w:p>
        </w:tc>
        <w:tc>
          <w:tcPr>
            <w:tcW w:w="0" w:type="dxa"/>
            <w:vAlign w:val="bottom"/>
          </w:tcPr>
          <w:p>
            <w:pPr>
              <w:spacing w:after="0"/>
              <w:rPr>
                <w:sz w:val="1"/>
                <w:szCs w:val="1"/>
                <w:color w:val="auto"/>
              </w:rPr>
            </w:pPr>
          </w:p>
        </w:tc>
      </w:tr>
      <w:tr>
        <w:trPr>
          <w:trHeight w:val="241"/>
        </w:trPr>
        <w:tc>
          <w:tcPr>
            <w:tcW w:w="482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820" w:type="dxa"/>
            <w:vAlign w:val="bottom"/>
            <w:tcBorders>
              <w:bottom w:val="single" w:sz="8" w:color="auto"/>
              <w:right w:val="single" w:sz="8" w:color="auto"/>
            </w:tcBorders>
            <w:shd w:val="clear" w:color="auto" w:fill="D9D9D9"/>
          </w:tcPr>
          <w:p>
            <w:pPr>
              <w:spacing w:after="0"/>
              <w:rPr>
                <w:sz w:val="20"/>
                <w:szCs w:val="20"/>
                <w:color w:val="auto"/>
              </w:rPr>
            </w:pPr>
          </w:p>
        </w:tc>
        <w:tc>
          <w:tcPr>
            <w:tcW w:w="540" w:type="dxa"/>
            <w:vAlign w:val="bottom"/>
            <w:tcBorders>
              <w:bottom w:val="single" w:sz="8" w:color="auto"/>
            </w:tcBorders>
            <w:shd w:val="clear" w:color="auto" w:fill="D9D9D9"/>
          </w:tcPr>
          <w:p>
            <w:pPr>
              <w:spacing w:after="0"/>
              <w:rPr>
                <w:sz w:val="20"/>
                <w:szCs w:val="20"/>
                <w:color w:val="auto"/>
              </w:rPr>
            </w:pPr>
          </w:p>
        </w:tc>
        <w:tc>
          <w:tcPr>
            <w:tcW w:w="506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and no payout is provided for bottom quartile relative TSR.</w:t>
            </w:r>
          </w:p>
        </w:tc>
        <w:tc>
          <w:tcPr>
            <w:tcW w:w="0" w:type="dxa"/>
            <w:vAlign w:val="bottom"/>
          </w:tcPr>
          <w:p>
            <w:pPr>
              <w:spacing w:after="0"/>
              <w:rPr>
                <w:sz w:val="1"/>
                <w:szCs w:val="1"/>
                <w:color w:val="auto"/>
              </w:rPr>
            </w:pPr>
          </w:p>
        </w:tc>
      </w:tr>
      <w:tr>
        <w:trPr>
          <w:trHeight w:val="211"/>
        </w:trPr>
        <w:tc>
          <w:tcPr>
            <w:tcW w:w="48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 Ownership Guideline for CEO</w:t>
            </w:r>
          </w:p>
        </w:tc>
        <w:tc>
          <w:tcPr>
            <w:tcW w:w="8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adopted a minimum CEO share ownership guideline of 6.0x base salary.</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(reinforces, internally and externally, significant level of share</w:t>
            </w:r>
          </w:p>
        </w:tc>
        <w:tc>
          <w:tcPr>
            <w:tcW w:w="56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Mr. Druker’s ownership exceeds this minimum expectation.</w:t>
            </w:r>
          </w:p>
        </w:tc>
        <w:tc>
          <w:tcPr>
            <w:tcW w:w="0" w:type="dxa"/>
            <w:vAlign w:val="bottom"/>
          </w:tcPr>
          <w:p>
            <w:pPr>
              <w:spacing w:after="0"/>
              <w:rPr>
                <w:sz w:val="1"/>
                <w:szCs w:val="1"/>
                <w:color w:val="auto"/>
              </w:rPr>
            </w:pPr>
          </w:p>
        </w:tc>
      </w:tr>
      <w:tr>
        <w:trPr>
          <w:trHeight w:val="207"/>
        </w:trPr>
        <w:tc>
          <w:tcPr>
            <w:tcW w:w="5640" w:type="dxa"/>
            <w:vAlign w:val="bottom"/>
            <w:tcBorders>
              <w:left w:val="single" w:sz="8" w:color="auto"/>
              <w:right w:val="single" w:sz="8" w:color="auto"/>
            </w:tcBorders>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8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Equity Awards – Share Utilization</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20" w:type="dxa"/>
            <w:vAlign w:val="bottom"/>
            <w:tcBorders>
              <w:left w:val="single" w:sz="8" w:color="auto"/>
              <w:right w:val="single" w:sz="8" w:color="auto"/>
            </w:tcBorders>
            <w:shd w:val="clear" w:color="auto" w:fill="000000"/>
          </w:tcPr>
          <w:p>
            <w:pPr>
              <w:ind w:left="80"/>
              <w:spacing w:after="0"/>
              <w:rPr>
                <w:sz w:val="20"/>
                <w:szCs w:val="20"/>
                <w:color w:val="auto"/>
              </w:rPr>
            </w:pPr>
            <w:r>
              <w:rPr>
                <w:rFonts w:ascii="Times New Roman" w:cs="Times New Roman" w:eastAsia="Times New Roman" w:hAnsi="Times New Roman"/>
                <w:sz w:val="18"/>
                <w:szCs w:val="18"/>
                <w:b w:val="1"/>
                <w:bCs w:val="1"/>
                <w:color w:val="FFFFFF"/>
              </w:rPr>
              <w:t>Pay Program Element</w:t>
            </w:r>
          </w:p>
        </w:tc>
        <w:tc>
          <w:tcPr>
            <w:tcW w:w="1360" w:type="dxa"/>
            <w:vAlign w:val="bottom"/>
            <w:gridSpan w:val="2"/>
            <w:shd w:val="clear" w:color="auto" w:fill="000000"/>
          </w:tcPr>
          <w:p>
            <w:pPr>
              <w:spacing w:after="0"/>
              <w:rPr>
                <w:sz w:val="20"/>
                <w:szCs w:val="20"/>
                <w:color w:val="auto"/>
              </w:rPr>
            </w:pPr>
            <w:r>
              <w:rPr>
                <w:rFonts w:ascii="Times New Roman" w:cs="Times New Roman" w:eastAsia="Times New Roman" w:hAnsi="Times New Roman"/>
                <w:sz w:val="18"/>
                <w:szCs w:val="18"/>
                <w:b w:val="1"/>
                <w:bCs w:val="1"/>
                <w:color w:val="FFFFFF"/>
              </w:rPr>
              <w:t>Description</w:t>
            </w:r>
          </w:p>
        </w:tc>
        <w:tc>
          <w:tcPr>
            <w:tcW w:w="5060" w:type="dxa"/>
            <w:vAlign w:val="bottom"/>
            <w:tcBorders>
              <w:right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Review of Share Utilization on at least Annual Basis</w:t>
            </w: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With support from its independent compensation consultant, the compensation</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(ongoing focus on prudent use of equity-based pay overall</w:t>
            </w: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committee reviews market benchmark data and comparisons on a regular basis, such as</w:t>
            </w:r>
          </w:p>
        </w:tc>
        <w:tc>
          <w:tcPr>
            <w:tcW w:w="0" w:type="dxa"/>
            <w:vAlign w:val="bottom"/>
          </w:tcPr>
          <w:p>
            <w:pPr>
              <w:spacing w:after="0"/>
              <w:rPr>
                <w:sz w:val="1"/>
                <w:szCs w:val="1"/>
                <w:color w:val="auto"/>
              </w:rPr>
            </w:pPr>
          </w:p>
        </w:tc>
      </w:tr>
      <w:tr>
        <w:trPr>
          <w:trHeight w:val="225"/>
        </w:trPr>
        <w:tc>
          <w:tcPr>
            <w:tcW w:w="4820" w:type="dxa"/>
            <w:vAlign w:val="bottom"/>
            <w:tcBorders>
              <w:left w:val="single" w:sz="8" w:color="auto"/>
              <w:right w:val="single" w:sz="8" w:color="auto"/>
            </w:tcBorders>
            <w:vMerge w:val="continue"/>
          </w:tcPr>
          <w:p>
            <w:pPr>
              <w:spacing w:after="0"/>
              <w:rPr>
                <w:sz w:val="19"/>
                <w:szCs w:val="19"/>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Nexxen’s equity burn rate relative to peer group companies. Equity burn rate, a measure</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and to executives)</w:t>
            </w: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of potential dilution from equity grants during a defined period of time, can be defined</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as the sum of shares, share units and share options granted in a given period of time,</w:t>
            </w:r>
          </w:p>
        </w:tc>
        <w:tc>
          <w:tcPr>
            <w:tcW w:w="0" w:type="dxa"/>
            <w:vAlign w:val="bottom"/>
          </w:tcPr>
          <w:p>
            <w:pPr>
              <w:spacing w:after="0"/>
              <w:rPr>
                <w:sz w:val="1"/>
                <w:szCs w:val="1"/>
                <w:color w:val="auto"/>
              </w:rPr>
            </w:pPr>
          </w:p>
        </w:tc>
      </w:tr>
      <w:tr>
        <w:trPr>
          <w:trHeight w:val="220"/>
        </w:trPr>
        <w:tc>
          <w:tcPr>
            <w:tcW w:w="4820" w:type="dxa"/>
            <w:vAlign w:val="bottom"/>
            <w:tcBorders>
              <w:left w:val="single" w:sz="8" w:color="auto"/>
              <w:right w:val="single" w:sz="8" w:color="auto"/>
            </w:tcBorders>
          </w:tcPr>
          <w:p>
            <w:pPr>
              <w:spacing w:after="0"/>
              <w:rPr>
                <w:sz w:val="19"/>
                <w:szCs w:val="19"/>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divided by ordinary shares outstanding. Nexxen’s 2024 and 2025 equity burn rate was</w:t>
            </w:r>
          </w:p>
        </w:tc>
        <w:tc>
          <w:tcPr>
            <w:tcW w:w="0" w:type="dxa"/>
            <w:vAlign w:val="bottom"/>
          </w:tcPr>
          <w:p>
            <w:pPr>
              <w:spacing w:after="0"/>
              <w:rPr>
                <w:sz w:val="1"/>
                <w:szCs w:val="1"/>
                <w:color w:val="auto"/>
              </w:rPr>
            </w:pPr>
          </w:p>
        </w:tc>
      </w:tr>
      <w:tr>
        <w:trPr>
          <w:trHeight w:val="230"/>
        </w:trPr>
        <w:tc>
          <w:tcPr>
            <w:tcW w:w="4820" w:type="dxa"/>
            <w:vAlign w:val="bottom"/>
            <w:tcBorders>
              <w:left w:val="single" w:sz="8" w:color="auto"/>
              <w:right w:val="single" w:sz="8" w:color="auto"/>
            </w:tcBorders>
          </w:tcPr>
          <w:p>
            <w:pPr>
              <w:spacing w:after="0"/>
              <w:rPr>
                <w:sz w:val="19"/>
                <w:szCs w:val="19"/>
                <w:color w:val="auto"/>
              </w:rPr>
            </w:pPr>
          </w:p>
        </w:tc>
        <w:tc>
          <w:tcPr>
            <w:tcW w:w="6420" w:type="dxa"/>
            <w:vAlign w:val="bottom"/>
            <w:tcBorders>
              <w:right w:val="single" w:sz="8" w:color="auto"/>
            </w:tcBorders>
            <w:gridSpan w:val="3"/>
          </w:tcPr>
          <w:p>
            <w:pPr>
              <w:spacing w:after="0" w:line="230" w:lineRule="exact"/>
              <w:rPr>
                <w:sz w:val="20"/>
                <w:szCs w:val="20"/>
                <w:color w:val="auto"/>
              </w:rPr>
            </w:pPr>
            <w:r>
              <w:rPr>
                <w:rFonts w:ascii="Times New Roman" w:cs="Times New Roman" w:eastAsia="Times New Roman" w:hAnsi="Times New Roman"/>
                <w:sz w:val="16"/>
                <w:szCs w:val="16"/>
                <w:color w:val="auto"/>
              </w:rPr>
              <w:t>found to be positioned near the peer group’s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percentile, and Nexxen’s 3-year</w:t>
            </w:r>
          </w:p>
        </w:tc>
        <w:tc>
          <w:tcPr>
            <w:tcW w:w="0" w:type="dxa"/>
            <w:vAlign w:val="bottom"/>
          </w:tcPr>
          <w:p>
            <w:pPr>
              <w:spacing w:after="0"/>
              <w:rPr>
                <w:sz w:val="1"/>
                <w:szCs w:val="1"/>
                <w:color w:val="auto"/>
              </w:rPr>
            </w:pPr>
          </w:p>
        </w:tc>
      </w:tr>
      <w:tr>
        <w:trPr>
          <w:trHeight w:val="226"/>
        </w:trPr>
        <w:tc>
          <w:tcPr>
            <w:tcW w:w="4820" w:type="dxa"/>
            <w:vAlign w:val="bottom"/>
            <w:tcBorders>
              <w:left w:val="single" w:sz="8" w:color="auto"/>
              <w:right w:val="single" w:sz="8" w:color="auto"/>
            </w:tcBorders>
          </w:tcPr>
          <w:p>
            <w:pPr>
              <w:spacing w:after="0"/>
              <w:rPr>
                <w:sz w:val="19"/>
                <w:szCs w:val="19"/>
                <w:color w:val="auto"/>
              </w:rPr>
            </w:pPr>
          </w:p>
        </w:tc>
        <w:tc>
          <w:tcPr>
            <w:tcW w:w="6420" w:type="dxa"/>
            <w:vAlign w:val="bottom"/>
            <w:tcBorders>
              <w:right w:val="single" w:sz="8" w:color="auto"/>
            </w:tcBorders>
            <w:gridSpan w:val="3"/>
          </w:tcPr>
          <w:p>
            <w:pPr>
              <w:spacing w:after="0" w:line="226" w:lineRule="exact"/>
              <w:rPr>
                <w:sz w:val="20"/>
                <w:szCs w:val="20"/>
                <w:color w:val="auto"/>
              </w:rPr>
            </w:pPr>
            <w:r>
              <w:rPr>
                <w:rFonts w:ascii="Times New Roman" w:cs="Times New Roman" w:eastAsia="Times New Roman" w:hAnsi="Times New Roman"/>
                <w:sz w:val="16"/>
                <w:szCs w:val="16"/>
                <w:color w:val="auto"/>
              </w:rPr>
              <w:t>average equity burn rate was found to be positioned below the peer group’s 25</w:t>
            </w:r>
            <w:r>
              <w:rPr>
                <w:rFonts w:ascii="Times New Roman" w:cs="Times New Roman" w:eastAsia="Times New Roman" w:hAnsi="Times New Roman"/>
                <w:sz w:val="26"/>
                <w:szCs w:val="26"/>
                <w:color w:val="auto"/>
                <w:vertAlign w:val="superscript"/>
              </w:rPr>
              <w:t>th</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auto"/>
            </w:tcBorders>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percentile.</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820" w:type="dxa"/>
            <w:vAlign w:val="bottom"/>
            <w:tcBorders>
              <w:left w:val="single" w:sz="8" w:color="auto"/>
              <w:right w:val="single" w:sz="8" w:color="auto"/>
            </w:tcBorders>
          </w:tcPr>
          <w:p>
            <w:pPr>
              <w:spacing w:after="0"/>
              <w:rPr>
                <w:sz w:val="24"/>
                <w:szCs w:val="24"/>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compensation committee also reviewed Nexxen’s equity overhang versus market, a</w:t>
            </w:r>
          </w:p>
        </w:tc>
        <w:tc>
          <w:tcPr>
            <w:tcW w:w="0" w:type="dxa"/>
            <w:vAlign w:val="bottom"/>
          </w:tcPr>
          <w:p>
            <w:pPr>
              <w:spacing w:after="0"/>
              <w:rPr>
                <w:sz w:val="1"/>
                <w:szCs w:val="1"/>
                <w:color w:val="auto"/>
              </w:rPr>
            </w:pPr>
          </w:p>
        </w:tc>
      </w:tr>
      <w:tr>
        <w:trPr>
          <w:trHeight w:val="229"/>
        </w:trPr>
        <w:tc>
          <w:tcPr>
            <w:tcW w:w="4820" w:type="dxa"/>
            <w:vAlign w:val="bottom"/>
            <w:tcBorders>
              <w:left w:val="single" w:sz="8" w:color="auto"/>
              <w:right w:val="single" w:sz="8" w:color="auto"/>
            </w:tcBorders>
          </w:tcPr>
          <w:p>
            <w:pPr>
              <w:spacing w:after="0"/>
              <w:rPr>
                <w:sz w:val="19"/>
                <w:szCs w:val="19"/>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measure of potential dilution from shares available for grant and outstanding equity</w:t>
            </w:r>
          </w:p>
        </w:tc>
        <w:tc>
          <w:tcPr>
            <w:tcW w:w="0" w:type="dxa"/>
            <w:vAlign w:val="bottom"/>
          </w:tcPr>
          <w:p>
            <w:pPr>
              <w:spacing w:after="0"/>
              <w:rPr>
                <w:sz w:val="1"/>
                <w:szCs w:val="1"/>
                <w:color w:val="auto"/>
              </w:rPr>
            </w:pPr>
          </w:p>
        </w:tc>
      </w:tr>
      <w:tr>
        <w:trPr>
          <w:trHeight w:val="206"/>
        </w:trPr>
        <w:tc>
          <w:tcPr>
            <w:tcW w:w="4820" w:type="dxa"/>
            <w:vAlign w:val="bottom"/>
            <w:tcBorders>
              <w:left w:val="single" w:sz="8" w:color="auto"/>
              <w:right w:val="single" w:sz="8" w:color="auto"/>
            </w:tcBorders>
          </w:tcPr>
          <w:p>
            <w:pPr>
              <w:spacing w:after="0"/>
              <w:rPr>
                <w:sz w:val="17"/>
                <w:szCs w:val="17"/>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grants from pay programs. Nexxen’s equity overhang was found to be positioned below</w:t>
            </w:r>
          </w:p>
        </w:tc>
        <w:tc>
          <w:tcPr>
            <w:tcW w:w="0" w:type="dxa"/>
            <w:vAlign w:val="bottom"/>
          </w:tcPr>
          <w:p>
            <w:pPr>
              <w:spacing w:after="0"/>
              <w:rPr>
                <w:sz w:val="1"/>
                <w:szCs w:val="1"/>
                <w:color w:val="auto"/>
              </w:rPr>
            </w:pPr>
          </w:p>
        </w:tc>
      </w:tr>
      <w:tr>
        <w:trPr>
          <w:trHeight w:val="239"/>
        </w:trPr>
        <w:tc>
          <w:tcPr>
            <w:tcW w:w="4820" w:type="dxa"/>
            <w:vAlign w:val="bottom"/>
            <w:tcBorders>
              <w:left w:val="single" w:sz="8" w:color="auto"/>
              <w:right w:val="single" w:sz="8" w:color="auto"/>
            </w:tcBorders>
          </w:tcPr>
          <w:p>
            <w:pPr>
              <w:spacing w:after="0"/>
              <w:rPr>
                <w:sz w:val="20"/>
                <w:szCs w:val="20"/>
                <w:color w:val="auto"/>
              </w:rPr>
            </w:pPr>
          </w:p>
        </w:tc>
        <w:tc>
          <w:tcPr>
            <w:tcW w:w="6420" w:type="dxa"/>
            <w:vAlign w:val="bottom"/>
            <w:tcBorders>
              <w:right w:val="single" w:sz="8" w:color="auto"/>
            </w:tcBorders>
            <w:gridSpan w:val="3"/>
          </w:tcPr>
          <w:p>
            <w:pPr>
              <w:spacing w:after="0" w:line="239" w:lineRule="exact"/>
              <w:rPr>
                <w:sz w:val="20"/>
                <w:szCs w:val="20"/>
                <w:color w:val="auto"/>
              </w:rPr>
            </w:pPr>
            <w:r>
              <w:rPr>
                <w:rFonts w:ascii="Times New Roman" w:cs="Times New Roman" w:eastAsia="Times New Roman" w:hAnsi="Times New Roman"/>
                <w:sz w:val="17"/>
                <w:szCs w:val="17"/>
                <w:color w:val="auto"/>
              </w:rPr>
              <w:t>the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percentile of the peer group companies, both during 2025 and also after</w:t>
            </w:r>
          </w:p>
        </w:tc>
        <w:tc>
          <w:tcPr>
            <w:tcW w:w="0" w:type="dxa"/>
            <w:vAlign w:val="bottom"/>
          </w:tcPr>
          <w:p>
            <w:pPr>
              <w:spacing w:after="0"/>
              <w:rPr>
                <w:sz w:val="1"/>
                <w:szCs w:val="1"/>
                <w:color w:val="auto"/>
              </w:rPr>
            </w:pPr>
          </w:p>
        </w:tc>
      </w:tr>
      <w:tr>
        <w:trPr>
          <w:trHeight w:val="229"/>
        </w:trPr>
        <w:tc>
          <w:tcPr>
            <w:tcW w:w="4820" w:type="dxa"/>
            <w:vAlign w:val="bottom"/>
            <w:tcBorders>
              <w:left w:val="single" w:sz="8" w:color="auto"/>
              <w:right w:val="single" w:sz="8" w:color="auto"/>
            </w:tcBorders>
          </w:tcPr>
          <w:p>
            <w:pPr>
              <w:spacing w:after="0"/>
              <w:rPr>
                <w:sz w:val="19"/>
                <w:szCs w:val="19"/>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approval of our recent new share request. Equity overhang can be defined as: ((shares</w:t>
            </w:r>
          </w:p>
        </w:tc>
        <w:tc>
          <w:tcPr>
            <w:tcW w:w="0" w:type="dxa"/>
            <w:vAlign w:val="bottom"/>
          </w:tcPr>
          <w:p>
            <w:pPr>
              <w:spacing w:after="0"/>
              <w:rPr>
                <w:sz w:val="1"/>
                <w:szCs w:val="1"/>
                <w:color w:val="auto"/>
              </w:rPr>
            </w:pP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64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available for grant + outstanding shares/units + outstanding share options) ÷ (basic</w:t>
            </w:r>
          </w:p>
        </w:tc>
        <w:tc>
          <w:tcPr>
            <w:tcW w:w="0" w:type="dxa"/>
            <w:vAlign w:val="bottom"/>
          </w:tcPr>
          <w:p>
            <w:pPr>
              <w:spacing w:after="0"/>
              <w:rPr>
                <w:sz w:val="1"/>
                <w:szCs w:val="1"/>
                <w:color w:val="auto"/>
              </w:rPr>
            </w:pPr>
          </w:p>
        </w:tc>
      </w:tr>
      <w:tr>
        <w:trPr>
          <w:trHeight w:val="255"/>
        </w:trPr>
        <w:tc>
          <w:tcPr>
            <w:tcW w:w="4820" w:type="dxa"/>
            <w:vAlign w:val="bottom"/>
            <w:tcBorders>
              <w:left w:val="single" w:sz="8" w:color="auto"/>
              <w:bottom w:val="single" w:sz="8" w:color="auto"/>
              <w:right w:val="single" w:sz="8" w:color="auto"/>
            </w:tcBorders>
          </w:tcPr>
          <w:p>
            <w:pPr>
              <w:spacing w:after="0"/>
              <w:rPr>
                <w:sz w:val="22"/>
                <w:szCs w:val="22"/>
                <w:color w:val="auto"/>
              </w:rPr>
            </w:pPr>
          </w:p>
        </w:tc>
        <w:tc>
          <w:tcPr>
            <w:tcW w:w="64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ordinary shares outstanding + the numerator)).</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240"/>
          </w:cols>
          <w:pgMar w:left="320" w:top="347"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Practices; External Directors</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As an Israeli company, we are subject to various corporate governance requirements under the Companies Law, including the requirement to appoint at least two external directors to the board of directors. However, pursuant to regulations promulgated under the Companies Law, companies with shares or ADSs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w:t>
      </w:r>
    </w:p>
    <w:p>
      <w:pPr>
        <w:spacing w:after="0" w:line="188"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In connection with the IPO, we elected to “opt out” from such requirements of the Companies Law effective upon the closing of the IPO in June 2021. Under these regulations, the exemptions from such Companies Law requirements will continue to be available to us so long as: (i) we do not have a “controlling shareholder” (as such term is defined under the Companies Law), (ii) our securities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405 under the Securities Act). As a foreign private issuer, we are permitted to comply with Israeli corporate governance practices instead of the corporate governance rules of Nasdaq, provided that we disclose which requirements we are not following and the equivalent Israeli requirement.</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on this “foreign private issuer exemption” with respect to the quorum requirement for shareholder meetings. As permitted under the Companies Law, pursuant to our amended and restated articles of association, the quorum required for an ordinary meeting of shareholders consists of at least two shareholders present in person, by proxy or by other voting instrument in accordance with the Companies Law who hold at least 25% of the voting power of our shares (and if the meeting is adjourned for a lack of quorum, the quorum for such adjourned meeting will be, subject to certain exceptions, any number of shareholders), instead of 33-1/3% of the issued share capital as required under the corporate governance rules of Nasdaq. We otherwise comply with the rules generally applicable to U.S. domestic companies listed on Nasdaq. We may, however, in the future decide to use the “foreign private issuer exemption” and opt out of some or all of the other corporate governance rules.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20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number of directors on our board of directors will be no less than four and no more than eleven directors. Our board of directors currently has six directors. At each annual general meeting of our shareholders, the election or re-election of directors following the expiration of the term of office of the directors will be for a term of office that expires on next annual general meeting following such election or re-election.</w:t>
      </w:r>
    </w:p>
    <w:p>
      <w:pPr>
        <w:spacing w:after="0" w:line="18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majority of the voting power represented at the general meeting in person or by proxy and voting on the election of directors provided that if the number of nominees so elected exceeds the number of directors that are proposed by the board of directors to be elected, then as among such elected nominees the election shall be by a plurality of the votes cast. Each director holds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7" w:name="page78"/>
    <w:bookmarkEnd w:id="7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our amended and restated articles of association,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Chairperson of the Board</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and the chairperson of the board of directors, or a relative of the chairperson, may not be vested with authorities of the chief executive officer unless approved by a special majority of the company’s shareholders. The shareholders’ approval can be effective for a period of up to three years.</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A majority of our board of directors is independent. An “independent director” is generally defined under the corporate governance rules of Nasdaq as a person, other than an executive officer of a company or any other individual having a relationship which, in the opinion of the issuer’s board of directors, would interfere with the exercise of independent judgment in carrying out the responsibilities of a director. Our board of directors has determined that Neil Jones, Lisa Klinger, Daniel Kerstein, Christopher Stibbs and Rhys Summerton are independent under the corporate governance rules of Nasdaq.</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Law Requirements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an audit committee consisting of at least three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Requirements</w:t>
      </w:r>
    </w:p>
    <w:p>
      <w:pPr>
        <w:spacing w:after="0" w:line="243"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Under the corporate governance rules of Nasdaq, we are required to maintain an audit committee consisting of at least three independent directors, each of whom is financially literate and one of whom has accounting or related financial management expertise.</w:t>
      </w:r>
    </w:p>
    <w:p>
      <w:pPr>
        <w:spacing w:after="0" w:line="16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audit committee consists of Neil Jones, Daniel Kerstein and Lisa Klinger. Ms. Klinger serves as the chairperson of the audit committee. All members of our audit committee meet the requirements for financial literacy under the applicable rules and regulations of the SEC and the corporate governance rules of Nasdaq. Our board of directors has determined that Ms. Klinger is an audit committee financial expert as defined by the SEC rules and has the requisite financial experience as defined by the corporate governance rules of Nasdaq.</w:t>
      </w:r>
    </w:p>
    <w:p>
      <w:pPr>
        <w:spacing w:after="0" w:line="18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Role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has adopted an audit committee charter setting forth the responsibilities of the audit committee, which are consistent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Law, the SEC rules and the corporate governance rules of Nasdaq and include:</w:t>
      </w:r>
    </w:p>
    <w:p>
      <w:pPr>
        <w:spacing w:after="0" w:line="234" w:lineRule="exact"/>
        <w:rPr>
          <w:sz w:val="20"/>
          <w:szCs w:val="20"/>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terminating our independent auditors, subject to ratification by the board of directors, and in the case of retention, to ratification by the shareholders;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non-audit services to be provided by the independent auditors and related fees and terms;</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 our annual and quarterly financial statements prior to publication or filing (or submission, as the case may be) to the SEC;</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the Company’s Code of Ethics and Conduct, including enforcing the provisions of the Code of Ethics and Conduct and investigating any alleged breach or violation;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general counsel and/or external counsel, as deemed necessary, legal and regulatory matters that could have a material impact on the financial statements;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irregularities in our business administration by among other things, consulting with the internal auditor or with the independent auditor, and suggesting corrective measures to the board of directors;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risks faced by the Company and the Company’s policies with respect to risk assessment and risk management, including ensuring that management has adequate processes in place to assess, identify cybersecurity risks and monitoring the prevention, detection, mitigation and remediation of cybersecurity incidents;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and procedures with respect to transactions between the Company and officers and directors (other than transactions related to the compensation or terms of service of officers and directors), or affiliates of officers or directors, or transactions that are not in the ordinary course of the Company’s business and deciding whether to approve such acts and transactions if so required under the Companies Law;</w:t>
      </w:r>
    </w:p>
    <w:p>
      <w:pPr>
        <w:spacing w:after="0" w:line="18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handling of employees’ complaints as to the management of our business and the protection to be provided to such employees; and</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audit committee charter on an annual basis.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 copy of the audit committee charter is available to investors and others on our website at investors.nexxen.com/governance/governance-overview.</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Law Requirements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 compensation committee consisting of at least three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Requirements</w:t>
      </w:r>
    </w:p>
    <w:p>
      <w:pPr>
        <w:spacing w:after="0" w:line="243"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Under the corporate governance rules of Nasdaq, we are required to maintain a compensation committee consisting of at least two independent directors.</w:t>
      </w:r>
    </w:p>
    <w:p>
      <w:pPr>
        <w:spacing w:after="0" w:line="16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compensation committee consists of Neil Jones, Lisa Klinger, and Rhys Summerton. Mr. Jones serves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Companies Law, the roles of the compensation committee are, among others, as follows:</w:t>
      </w:r>
    </w:p>
    <w:p>
      <w:pPr>
        <w:spacing w:after="0" w:line="239"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with respect to the approval of the compensation policy for office holders;</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of the compensation policy and periodically making recommendations to the board of directors with respect to any amendments or updates of the compensation policy;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whether or not to approve arrangements with respect to the terms of office and employment of office holders;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exempting, under certain circumstances, transactions with our Chief Executive Officer from the approval of our shareholders.</w:t>
      </w:r>
    </w:p>
    <w:p>
      <w:pPr>
        <w:spacing w:after="0" w:line="23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compensation committee charter setting forth the responsibilities of the committee, which are consistent with the corporate governance rules of Nasdaq and include among others:</w:t>
      </w:r>
    </w:p>
    <w:p>
      <w:pPr>
        <w:spacing w:after="0" w:line="189" w:lineRule="exact"/>
        <w:rPr>
          <w:sz w:val="20"/>
          <w:szCs w:val="20"/>
          <w:color w:val="auto"/>
        </w:rPr>
      </w:pPr>
    </w:p>
    <w:p>
      <w:pPr>
        <w:jc w:val="both"/>
        <w:ind w:left="3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to our Chief Executive Officer and other executive officers, including reviewing and approving annual corporate goals and objectives relevant to the compensation of our Chief Executive Officer and other executive officers, including evaluating their performance in light of such goals and objectives;</w:t>
      </w:r>
    </w:p>
    <w:p>
      <w:pPr>
        <w:spacing w:after="0" w:line="1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exempting certain transactions regarding office holders’ compensation pursuant to the Companies Law;</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any policy regarding the recovery of incentive-based executive compensation, including without limitation to approve the adoption of such plan, to amend and interpret the plan, and oversee the implementation and administration of such policy, unless otherwise required to be done at the full board level; and</w:t>
      </w:r>
    </w:p>
    <w:p>
      <w:pPr>
        <w:spacing w:after="0" w:line="1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compensation committee charter on an annual basis.</w:t>
      </w:r>
    </w:p>
    <w:p>
      <w:pPr>
        <w:spacing w:after="0" w:line="23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copy of the compensation committee charter is available to investors and others on our website at investors.nexxen.com/governance/governance-overview.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Policy under the Companies Law</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general, under the Companies Law, a public company must have a compensation policy approved by its board of directors after receiving and considering the recommendations of the compensation committee.</w:t>
      </w:r>
    </w:p>
    <w:p>
      <w:pPr>
        <w:spacing w:after="0" w:line="1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90"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 skills, experience, expertise and accomplishments of the relevant office holder;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position and responsibilities;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compensation agreements with the office holder;</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color w:val="auto"/>
        </w:rPr>
        <w:t>The compensation policy must also include, among other things:</w:t>
      </w:r>
    </w:p>
    <w:p>
      <w:pPr>
        <w:spacing w:after="0" w:line="239"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variable components:</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if such amount is not higher than three months’ salary per annum, taking into account such office holder’s contribution to the company;</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 (this requirement is in addition to the Incentive-Based Compensation Recoupment Policy we adopted in accordance with Nasdaq rules (a copy of which is filed as an exhibit to this Annual Report on Form 20-F);</w:t>
      </w:r>
    </w:p>
    <w:p>
      <w:pPr>
        <w:spacing w:after="0" w:line="19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of variable equity-based components to be set in the terms of office or employment, as applicable, while taking into consideration long-term incentives;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to retirement grants.</w:t>
      </w:r>
    </w:p>
    <w:p>
      <w:pPr>
        <w:spacing w:after="0" w:line="239"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Our compensation policy was last amended by our compensation committee, board of directors and shareholders on December 20, 2024 and is filed as an exhibit to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Nominating and Governance Committee</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sustainability, nominating and governance committee consists of Neil Jones, Lisa Klinger, Daniel Kerstein, Christopher Stibbs and Rhys Summerton. Mr. Stibbs serves as chairperson of the committee. Our board of directors has adopted a sustainability, nominating and governance committee charter setting forth the responsibilities of the committee, which include:</w:t>
      </w:r>
    </w:p>
    <w:p>
      <w:pPr>
        <w:spacing w:after="0" w:line="177"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assisting our board in reviewing and recommending nominees for election as directors;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members of our board;</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programs and strategies related to environmental, social and governance;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sustainability, nominating and governance committee charter on an annual basis.</w:t>
      </w:r>
    </w:p>
    <w:p>
      <w:pPr>
        <w:spacing w:after="0" w:line="239"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A copy of the sustainability, nominating and governance committee charter is available to investors and others on our website at investors.nexxen.com/governance/governance-overview.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We do not have any written agreement with any director providing for benefits upon the termination of such director’s relationship with our Company.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90" w:lineRule="exact"/>
        <w:rPr>
          <w:sz w:val="20"/>
          <w:szCs w:val="20"/>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other than the Chief Executive Officer</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Companies Law requires the approval of the compensation of a public company’s executive officers (other than the chief executive officer or an executive officer who also serves as a director)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ectPr>
          <w:pgSz w:w="11900" w:h="16838" w:orient="portrait"/>
          <w:cols w:equalWidth="0" w:num="1">
            <w:col w:w="11240"/>
          </w:cols>
          <w:pgMar w:left="320" w:top="351" w:right="339" w:bottom="142" w:gutter="0" w:footer="0" w:header="0"/>
        </w:sectPr>
      </w:pPr>
    </w:p>
    <w:bookmarkStart w:id="82" w:name="page83"/>
    <w:bookmarkEnd w:id="8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43"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Under the Companies Law, the compensation of a public company’s chief executive officer is required to be approved by: (i) the company’s compensation committee; (ii) the company’s board of directors, and (iii) the company’s shareholders, provided that:</w:t>
      </w:r>
    </w:p>
    <w:p>
      <w:pPr>
        <w:spacing w:after="0" w:line="163"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62"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Such waiver does not preclude the need for approval of the compensation of a chief executive officer candidate who also serves as a member of the board of directors, and his or her compensation terms as chief executive officer must be approved in accordance with the rules applicable to approval of compensation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 under Israeli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of Directors and Executive Officers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above under “Board of Directors and Senior Management” is an office holder under the Companies Law.</w:t>
      </w:r>
    </w:p>
    <w:p>
      <w:pPr>
        <w:spacing w:after="0" w:line="18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77"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business advisability of a given action brought for his, her or its approval or performed by virtue of his, her or its position;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such action.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duty of loyalty requires that an office holder act in good faith and in the best interests of the company, and includes, among other things, the duty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34" w:lineRule="exact"/>
        <w:rPr>
          <w:sz w:val="20"/>
          <w:szCs w:val="20"/>
          <w:color w:val="auto"/>
        </w:rPr>
      </w:pPr>
    </w:p>
    <w:p>
      <w:pPr>
        <w:ind w:left="3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 involving a conflict of interest between the performance of his, her or its duties in the company and his, her or its other duties or personal affairs;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4" w:name="page85"/>
    <w:bookmarkEnd w:id="84"/>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for the purpose of gaining a personal advantage for himself, herself or itself or others;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her or its position as an office holder.</w:t>
      </w:r>
    </w:p>
    <w:p>
      <w:pPr>
        <w:spacing w:after="0" w:line="17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Interests of an Office Holder and Approval of Certain Transactions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 holder’s vote on behalf of a person for whom he or she holds a proxy even if such shareholder has no personal interest in the matter.</w:t>
      </w:r>
    </w:p>
    <w:p>
      <w:pPr>
        <w:spacing w:after="0" w:line="19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90"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for these purposes.</w:t>
      </w:r>
    </w:p>
    <w:p>
      <w:pPr>
        <w:spacing w:after="0" w:line="18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For a description of the approvals required under Israeli law for compensation arrangements of officers and directors, see “—Compensation of Directors and Executive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Duties</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82"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articles of association;</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company’s authorized share capital;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5" w:name="page86"/>
    <w:bookmarkEnd w:id="85"/>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party transactions that require shareholder approval.</w:t>
      </w:r>
    </w:p>
    <w:p>
      <w:pPr>
        <w:spacing w:after="0" w:line="23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shareholder has a general duty to refrain from discriminating against other shareholders.</w:t>
      </w:r>
    </w:p>
    <w:p>
      <w:pPr>
        <w:spacing w:after="0" w:line="239"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Exculpation, Insurance and Indemnification of Office Holders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8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89" w:lineRule="exact"/>
        <w:rPr>
          <w:sz w:val="20"/>
          <w:szCs w:val="20"/>
          <w:color w:val="auto"/>
        </w:rPr>
      </w:pPr>
    </w:p>
    <w:p>
      <w:pPr>
        <w:jc w:val="both"/>
        <w:ind w:left="340" w:hanging="332"/>
        <w:spacing w:after="0" w:line="258"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9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176" w:lineRule="exact"/>
        <w:rPr>
          <w:sz w:val="20"/>
          <w:szCs w:val="20"/>
          <w:color w:val="auto"/>
        </w:rPr>
      </w:pPr>
    </w:p>
    <w:p>
      <w:pPr>
        <w:ind w:right="20" w:firstLine="324"/>
        <w:spacing w:after="0" w:line="297" w:lineRule="auto"/>
        <w:rPr>
          <w:sz w:val="20"/>
          <w:szCs w:val="20"/>
          <w:color w:val="auto"/>
        </w:rPr>
      </w:pPr>
      <w:r>
        <w:rPr>
          <w:rFonts w:ascii="Times New Roman" w:cs="Times New Roman" w:eastAsia="Times New Roman" w:hAnsi="Times New Roman"/>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63" w:lineRule="exact"/>
        <w:rPr>
          <w:sz w:val="20"/>
          <w:szCs w:val="20"/>
          <w:color w:val="auto"/>
        </w:rPr>
      </w:pPr>
    </w:p>
    <w:p>
      <w:pPr>
        <w:ind w:left="340" w:right="2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to the company or to a third-party, including a breach arising out of the negligent conduct of the office holder;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6" w:name="page87"/>
    <w:bookmarkEnd w:id="86"/>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third-party harmed by a breach in an administrative proceeding;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Israeli company may not indemnify or insure an office holder against any of the following:</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to the extent that the office holder acted in good faith and had a reasonable basis to believe that the act would not prejudice the company;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committed intentionally or recklessly, excluding a breach arising out of the negligent conduct of the office holder;</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monetary sanction or forfeit levied against the office holder.</w:t>
      </w:r>
    </w:p>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20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8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6"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maximum indemnification amount set forth in such agreements is limited to an amount equal to the higher of $50 million and 25% of our total shareholders’ equity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8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the opinion of the SEC, indemnification of directors and office holders for liabilities arising under the Securities Act, however, is against public policy and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Deloitte IL &amp; Co. serves as our internal auditor.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As of December 31, 2025, we had 909 employees, including 556 in the United States, 219 in Tel Aviv, and 134 employees in other international locations. None of our employees are represented by labor unions or covered by collective bargaining agreements. We consider our relationship with our employees to be good.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41"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Item 7. “</w:t>
      </w:r>
      <w:r>
        <w:rPr>
          <w:rFonts w:ascii="Times New Roman" w:cs="Times New Roman" w:eastAsia="Times New Roman" w:hAnsi="Times New Roman"/>
          <w:sz w:val="18"/>
          <w:szCs w:val="18"/>
          <w:i w:val="1"/>
          <w:iCs w:val="1"/>
          <w:color w:val="auto"/>
        </w:rPr>
        <w:t>Major Shareholders and Related Party Transactions—7.A. 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For information as to our equity incentive plans, see Item 6.B. “</w:t>
      </w:r>
      <w:r>
        <w:rPr>
          <w:rFonts w:ascii="Times New Roman" w:cs="Times New Roman" w:eastAsia="Times New Roman" w:hAnsi="Times New Roman"/>
          <w:sz w:val="18"/>
          <w:szCs w:val="18"/>
          <w:i w:val="1"/>
          <w:iCs w:val="1"/>
          <w:color w:val="auto"/>
        </w:rPr>
        <w:t>Director, Senior Management and Employees—Compensation—Equity Incentive Plans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REGISTRANT’S ACTION TO RECOVER ERRONEOUSLY AWARDED COMPENSATION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ind w:right="4860"/>
        <w:spacing w:after="0" w:line="526"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February 28, 2026:</w:t>
      </w:r>
    </w:p>
    <w:p>
      <w:pPr>
        <w:spacing w:after="0" w:line="23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outstanding Shares;</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executive officers and Covered Executives individually;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of Shares is determined in accordance with the SEC rules and generally includes any Shares over which a person exercises sole or shared voting or investment power, which includes the power to dispose of or to direct the disposition of such security. For purposes of the table below, we deem shares subject to options, RSUs or PSUs that are currently exercisable or exercisable (in the case of options) or vested (in the case of RSUs or PSUs) within 60 days of February 28, 2026 to be outstanding and to be beneficially owned by the person holding the options, RSUs, or PSUs for the purposes of computing the percentage ownership of that person but we do not treat them as outstanding for the purpose of computing the percentage ownership of any other person, except with respect to the ownership and percentage ownership of all executive officers and directors as a group.</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percentage of shares beneficially owned are based on 55,720,779 Shares outstanding as of February 28, 2026.</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82 Yigal Alon Street, Tel Aviv, 6789124, Israel.</w:t>
      </w:r>
    </w:p>
    <w:p>
      <w:pPr>
        <w:spacing w:after="0" w:line="239"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A description of any material relationship that our principal shareholders have had with us or any of our affiliates within the past three years is included under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as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0"/>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59"/>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0"/>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Shareholders</w:t>
            </w:r>
          </w:p>
        </w:tc>
        <w:tc>
          <w:tcPr>
            <w:tcW w:w="10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85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Mithaq Capital SPC</w:t>
            </w:r>
            <w:r>
              <w:rPr>
                <w:rFonts w:ascii="Times New Roman" w:cs="Times New Roman" w:eastAsia="Times New Roman" w:hAnsi="Times New Roman"/>
                <w:sz w:val="26"/>
                <w:szCs w:val="26"/>
                <w:color w:val="auto"/>
                <w:vertAlign w:val="superscript"/>
              </w:rPr>
              <w:t>(1)</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17,326,679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5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J.B Capital Partners L.P.</w:t>
            </w:r>
            <w:r>
              <w:rPr>
                <w:rFonts w:ascii="Times New Roman" w:cs="Times New Roman" w:eastAsia="Times New Roman" w:hAnsi="Times New Roman"/>
                <w:sz w:val="26"/>
                <w:szCs w:val="26"/>
                <w:color w:val="auto"/>
                <w:vertAlign w:val="superscript"/>
              </w:rPr>
              <w:t>(2)</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4,361,625</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5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News Corporation</w:t>
            </w:r>
            <w:r>
              <w:rPr>
                <w:rFonts w:ascii="Times New Roman" w:cs="Times New Roman" w:eastAsia="Times New Roman" w:hAnsi="Times New Roman"/>
                <w:sz w:val="26"/>
                <w:szCs w:val="26"/>
                <w:color w:val="auto"/>
                <w:vertAlign w:val="superscript"/>
              </w:rPr>
              <w:t>(3)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4,262,661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5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Toscafund Asset Management LLP</w:t>
            </w:r>
            <w:r>
              <w:rPr>
                <w:rFonts w:ascii="Times New Roman" w:cs="Times New Roman" w:eastAsia="Times New Roman" w:hAnsi="Times New Roman"/>
                <w:sz w:val="26"/>
                <w:szCs w:val="26"/>
                <w:color w:val="auto"/>
                <w:vertAlign w:val="superscript"/>
              </w:rPr>
              <w:t>(4)</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3,193,481</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85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b w:val="1"/>
                <w:bCs w:val="1"/>
                <w:i w:val="1"/>
                <w:iCs w:val="1"/>
                <w:color w:val="auto"/>
              </w:rPr>
              <w:t>Directors, Executive Officers and Covered Executives</w:t>
            </w:r>
            <w:r>
              <w:rPr>
                <w:rFonts w:ascii="Times New Roman" w:cs="Times New Roman" w:eastAsia="Times New Roman" w:hAnsi="Times New Roman"/>
                <w:sz w:val="26"/>
                <w:szCs w:val="26"/>
                <w:color w:val="auto"/>
                <w:vertAlign w:val="superscript"/>
              </w:rPr>
              <w:t>(5)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Ofer Druker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717,916</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Sagi Niri</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Yaniv Carmi</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Karim Rayes</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Chance Johnson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Christopher Stibbs</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Neil Jones</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Lisa Klinger</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Daniel Kerstein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Rhys Summerton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persons)</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1,763,025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39" w:lineRule="exact"/>
        <w:rPr>
          <w:sz w:val="20"/>
          <w:szCs w:val="20"/>
          <w:color w:val="auto"/>
        </w:rPr>
      </w:pPr>
    </w:p>
    <w:p>
      <w:pPr>
        <w:jc w:val="both"/>
        <w:ind w:left="660" w:hanging="652"/>
        <w:spacing w:after="0" w:line="25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an Amendment No. 9 to Schedule 13D jointly filed by Mithaq Capital SPC (“Mithaq Capital”), Turki Saleh A. AlRajhi and Muhammad Asif Seemab with the SEC on December 29, 2025. Mithaq Capital is managed by its Board of Directors, which consists of Turki Saleh A. AlRajhi and Muhammad Asif Seemab, and the Board has exclusive authority concerning purchases, dispositions and voting of the ordinary shares. Each of Mr. AlRajhi and Mr. Seemab possesses an ownership interest in Mithaq Capital, and Mr. Seemab may share in any profits realized from Mithaq Capital’s investment in the Shares. Mithaq Capital may be deemed to beneficially own 17,326,679 Ordinary Shares of the Company and has sole voting and dispositive power with respect to the shares, while Mr. AlRaji and Mr. Seemab each have shared voting and dispositive power with respect to the shares. The principal address of Mithaq Capital is c/o Synergy, Anas Ibn Malik Road, Al Malqa, Riyadh 13521 Saudi Arabia. Pursuant to Section 333(b) of the Companies Law, Mithaq Capital may not exercise voting rights in excess of 25% of our issued and outstanding Ordinary Shares.</w:t>
      </w:r>
    </w:p>
    <w:p>
      <w:pPr>
        <w:spacing w:after="0" w:line="20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an Amendment No. 1 to a Schedule 13G jointly filed by JB Capital Partners L.P. (“JB Capital”) and Alan W. Weber with the SEC on February 9, 2026. Each of JB Capital and Mr. Weber share voting and dispositive power with respect to 4,361,625 Ordinary Shares. The principal address of JB Capital and Mr. Weber is 5 Evans Place, Armonk New York 10504.</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an Amendment No. 7 to a Schedule 13G jointly filed by Toscafund Asset Management LLP (“Toscafund”), Toscafund Limited, Old Oaks Holdings Limited and Martin Hudges with the SEC on November 12, 2025. Toscafund is the entity for which Toscafund Limited, Old Oak Holdings and Martin Hughes may be considered a holding company or control person, as applicable, and therefore may be deemed to have beneficial ownership over 5,607,158 Shares of the Company and has shared voting and dispositive power with respect to the shares. Tosca Opportunity may be deemed to beneficially own 3,193,481 Shares and has shared voting and dispositive power with respect to the shares. The principal address of Toscafund is 5th Fl, Ferguson House, 15 Marylebone Rd, London, United Kingdom NW1 5JD. The principal address of Tosca Opportunity is Ugland House, Box 309, Grand Cayman, Cayman Islands KY1-1104.</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 filed by News Corporation with the SEC on February 11, 2022. News Corp UK &amp; Ireland Limited and News Preferred Holdings Inc., both wholly-owned subsidiaries of News Corporation, are the record holders of the 4,262,661 Shares of the Company. News Corporation has sole voting and investment power with respect to the shares of the Company held by such subsidiaries. The principal address of News Corporation is 1211 Avenue of the Americas, New York, New York 10036.</w:t>
      </w:r>
    </w:p>
    <w:p>
      <w:pPr>
        <w:spacing w:after="0" w:line="19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Covered Executives in accordance with Israeli law and the Exchange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our related party transactions since January 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See Item 6. “</w:t>
      </w:r>
      <w:r>
        <w:rPr>
          <w:rFonts w:ascii="Times New Roman" w:cs="Times New Roman" w:eastAsia="Times New Roman" w:hAnsi="Times New Roman"/>
          <w:sz w:val="18"/>
          <w:szCs w:val="18"/>
          <w:i w:val="1"/>
          <w:iCs w:val="1"/>
          <w:color w:val="auto"/>
        </w:rPr>
        <w:t>Directors, Senior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2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our inception, we have granted to our executive officers and certain of our directors restricted stock units, performance share units and options to purchase our Shares. See Item 6. “</w:t>
      </w:r>
      <w:r>
        <w:rPr>
          <w:rFonts w:ascii="Times New Roman" w:cs="Times New Roman" w:eastAsia="Times New Roman" w:hAnsi="Times New Roman"/>
          <w:sz w:val="18"/>
          <w:szCs w:val="18"/>
          <w:i w:val="1"/>
          <w:iCs w:val="1"/>
          <w:color w:val="auto"/>
        </w:rPr>
        <w:t>Directors, Senior Management and Employees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Exculpation, Indemnification and Insurance</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amended and restated articles of association permit us to exculpate, indemnify and insure certain of our office holders to the fullest extent permitted by the Companies Law. 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See Item 6. “</w:t>
      </w:r>
      <w:r>
        <w:rPr>
          <w:rFonts w:ascii="Times New Roman" w:cs="Times New Roman" w:eastAsia="Times New Roman" w:hAnsi="Times New Roman"/>
          <w:sz w:val="18"/>
          <w:szCs w:val="18"/>
          <w:i w:val="1"/>
          <w:iCs w:val="1"/>
          <w:color w:val="auto"/>
        </w:rPr>
        <w:t>Directors, Senior Management and Employees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Appointment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board of directors consists of six directors. We are not a party to, and are not aware of, any voting agreements among our shareholders.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to set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39" w:lineRule="exact"/>
        <w:rPr>
          <w:sz w:val="20"/>
          <w:szCs w:val="20"/>
          <w:color w:val="auto"/>
        </w:rPr>
      </w:pPr>
    </w:p>
    <w:p>
      <w:pPr>
        <w:ind w:right="4620"/>
        <w:spacing w:after="0" w:line="518" w:lineRule="auto"/>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 Consolidated Financial Statements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appended our audited consolidated financial statements at the end of this Annual Report, starting at page F-4, as part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may, from time to time, be party to legal or regulatory proceedings arising in the ordinary course of business. Defending any such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pgSz w:w="11900" w:h="16838" w:orient="portrait"/>
          <w:cols w:equalWidth="0" w:num="1">
            <w:col w:w="11240"/>
          </w:cols>
          <w:pgMar w:left="320" w:top="347" w:right="339"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90" w:name="page91"/>
    <w:bookmarkEnd w:id="9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18, 2021, we filed a complaint against Alphonso in the Supreme Court of the State of New York, County of New York, asserting claims for breach of contract, tortious interference with business relations, intentional interference with contractual relations, unjust enrichment, and conversion. The lawsuit arose out of Alphonso’s breach of a Strategic Partnership Agreement and an Advance Payment Obligation and Security Agreement (the “Security Agreement”) with us, and LG Electronics Inc.’s (“LG”) tortious interference with the Company’s contractual relationships and business relations and related misconduct. On February 28, 2024, the Company entered into a settlement and release agreement with Alphonso and LG and the parties agreed to dismiss the Alphonso Lawsuit.</w:t>
      </w:r>
    </w:p>
    <w:p>
      <w:pPr>
        <w:spacing w:after="0" w:line="190"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On June 21, 2022, Alphonso filed a complaint against the Company in the United States District Court for the Northern District of California, asserting claims for misappropriation of trade secrets under federal and state law. On October 11, 2023, Alphonso dismissed its claims in the lawsuit with prejudice.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Dividend Distributions</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Companies Law imposes restrictions on our ability to declare and pay dividends. 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significant changes have occurred since December 31, 2025, except as otherwise disclosed in this Annual Report.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 AND LISTING DETAILS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Shares have been listed on the Nasdaq Global Market under the symbol “NEXN” since February 18, 2025.</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28, 2026, the last reported sale price of our Shares on the Nasdaq Global Market was $6.44 per Ordinary Share.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9.A. “Offer and Listing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authorized share capital of the Company is NIS 5,000,000, divided into 250,000,000 ordinary shares with a par value of NIS 0.02 per share, of which 55,720,779 shares are issued and outstanding as of February 28, 2026, and 45,150,804 shares are held in treasury.</w:t>
      </w:r>
    </w:p>
    <w:p>
      <w:pPr>
        <w:spacing w:after="0" w:line="16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 copy of our amended and restated articles of association is attached as Exhibit 1.1 to this Annual Report on Form 20-F. The information called for by this item is set forth in Exhibit 2.1 to this Annual Report on Form 20-F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Summaries of the following material contracts and amendments to these contracts are included in this Annual Report in the places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560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Material Contract</w:t>
            </w:r>
          </w:p>
        </w:tc>
        <w:tc>
          <w:tcPr>
            <w:tcW w:w="5600" w:type="dxa"/>
            <w:vAlign w:val="bottom"/>
            <w:tcBorders>
              <w:top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Location in This Annual Report</w:t>
            </w:r>
          </w:p>
        </w:tc>
      </w:tr>
      <w:tr>
        <w:trPr>
          <w:trHeight w:val="61"/>
        </w:trPr>
        <w:tc>
          <w:tcPr>
            <w:tcW w:w="40" w:type="dxa"/>
            <w:vAlign w:val="bottom"/>
            <w:tcBorders>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Global Share Incentive Plan (2011), as amended</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Item 6.B. </w:t>
            </w:r>
            <w:r>
              <w:rPr>
                <w:rFonts w:ascii="Times New Roman" w:cs="Times New Roman" w:eastAsia="Times New Roman" w:hAnsi="Times New Roman"/>
                <w:sz w:val="18"/>
                <w:szCs w:val="18"/>
                <w:i w:val="1"/>
                <w:iCs w:val="1"/>
                <w:color w:val="auto"/>
              </w:rPr>
              <w:t>Directors, Senior Management and Employees – Compensation</w:t>
            </w: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2017 Equity Incentive Plan, as amended</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Item 6.B. </w:t>
            </w:r>
            <w:r>
              <w:rPr>
                <w:rFonts w:ascii="Times New Roman" w:cs="Times New Roman" w:eastAsia="Times New Roman" w:hAnsi="Times New Roman"/>
                <w:sz w:val="18"/>
                <w:szCs w:val="18"/>
                <w:i w:val="1"/>
                <w:iCs w:val="1"/>
                <w:color w:val="auto"/>
              </w:rPr>
              <w:t>Directors, Senior Management and Employees –Compensation</w:t>
            </w: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Compensation Policy</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Item 6.C. </w:t>
            </w:r>
            <w:r>
              <w:rPr>
                <w:rFonts w:ascii="Times New Roman" w:cs="Times New Roman" w:eastAsia="Times New Roman" w:hAnsi="Times New Roman"/>
                <w:sz w:val="18"/>
                <w:szCs w:val="18"/>
                <w:i w:val="1"/>
                <w:iCs w:val="1"/>
                <w:color w:val="auto"/>
              </w:rPr>
              <w:t>Directors, Senior Management and Employees Board Practices –</w:t>
            </w: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Compensation Policy under the Companies Law.</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Item 6.C. </w:t>
            </w:r>
            <w:r>
              <w:rPr>
                <w:rFonts w:ascii="Times New Roman" w:cs="Times New Roman" w:eastAsia="Times New Roman" w:hAnsi="Times New Roman"/>
                <w:sz w:val="18"/>
                <w:szCs w:val="18"/>
                <w:i w:val="1"/>
                <w:iCs w:val="1"/>
                <w:color w:val="auto"/>
              </w:rPr>
              <w:t>Directors, Senior Management and Employees – Board Practices</w:t>
            </w: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 Exculpation, Insurance and Indemnification of Office Holders</w:t>
            </w:r>
            <w:r>
              <w:rPr>
                <w:rFonts w:ascii="Times New Roman" w:cs="Times New Roman" w:eastAsia="Times New Roman" w:hAnsi="Times New Roman"/>
                <w:sz w:val="18"/>
                <w:szCs w:val="18"/>
                <w:color w:val="auto"/>
              </w:rPr>
              <w:t>.</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Credit Agreement</w:t>
            </w:r>
          </w:p>
        </w:tc>
        <w:tc>
          <w:tcPr>
            <w:tcW w:w="5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Item 5.B. </w:t>
            </w:r>
            <w:r>
              <w:rPr>
                <w:rFonts w:ascii="Times New Roman" w:cs="Times New Roman" w:eastAsia="Times New Roman" w:hAnsi="Times New Roman"/>
                <w:sz w:val="18"/>
                <w:szCs w:val="18"/>
                <w:i w:val="1"/>
                <w:iCs w:val="1"/>
                <w:color w:val="auto"/>
              </w:rPr>
              <w:t>Liquidity and Capital Resources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c>
          <w:tcPr>
            <w:tcW w:w="5600" w:type="dxa"/>
            <w:vAlign w:val="bottom"/>
            <w:tcBorders>
              <w:bottom w:val="single" w:sz="8" w:color="auto"/>
              <w:right w:val="single" w:sz="8" w:color="auto"/>
            </w:tcBorders>
          </w:tcPr>
          <w:p>
            <w:pPr>
              <w:spacing w:after="0"/>
              <w:rPr>
                <w:sz w:val="5"/>
                <w:szCs w:val="5"/>
                <w:color w:val="auto"/>
              </w:rPr>
            </w:pPr>
          </w:p>
        </w:tc>
      </w:tr>
      <w:tr>
        <w:trPr>
          <w:trHeight w:val="44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tc>
        <w:tc>
          <w:tcPr>
            <w:tcW w:w="5600" w:type="dxa"/>
            <w:vAlign w:val="bottom"/>
          </w:tcPr>
          <w:p>
            <w:pPr>
              <w:spacing w:after="0"/>
              <w:rPr>
                <w:sz w:val="24"/>
                <w:szCs w:val="24"/>
                <w:color w:val="auto"/>
              </w:rPr>
            </w:pPr>
          </w:p>
        </w:tc>
      </w:tr>
    </w:tbl>
    <w:p>
      <w:pPr>
        <w:spacing w:after="0" w:line="21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Shares, proceeds from the sale of our Shares or interest or other payments to non-residents of Israel, except for shareholders who are subjects of countries that are, have been, or will be, in a state of war with Israel.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following discussion of Israeli and United States tax consequences is not intended to constitute a complete analysis of all tax consequences relating to the acquisition, ownership and disposition of our Shares. You should consult your own tax advisor concerning the tax consequences of your particular situation, as well as any tax consequences that may arise under the laws of any state, local, foreign or other taxing jurisdiction.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general corporate Israeli tax laws applicable to us. This section also contains a discussion of material Israeli tax consequences relating to the ownership and disposition of our Shares. This summary does not discuss all aspects of the Israeli tax law that may be relevant to a particular investor in light of his or her personal investment circumstances or to some types of investors subject to special treatment under Israeli law.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Israeli companies are generally subject to Corporate Income Tax (CIT) on taxable income, including capital gains, at the rate of 23% for 2024 and 2025. Nevertheless, as elaborated below, the Israeli Law for the Encouragement of Capital Investments-1959 provides tax benefits for Israeli enterprises meeting certain requirements and criteria. In our context, the Company’s enterprise may be eligible to the “Preferred Technological Enterprise” and the “Special Preferred Technological Enterprise” regime, that provides a reduced CIT rate of 12% and 6% respectively on eligible income.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Foreign Exchange Regulations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are permitted to measure our Israeli taxable income in U.S. dollars pursuant to regulations published by the Israeli Minister of Finance, which provide the conditions for doing so. We believe that we meet, and will continue to meet, the necessary conditions and as such, we measure our results for tax purposes based on the U.S. dollar/NIS exchange rate on December 31 of the relevant tax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Benefits and Grants for Research and Development</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Israeli tax law allows, under specified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6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expenditures are approved by the relevant Israeli government ministry, determined by the field of research;</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must be for the promotion of the company;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are carried out by or on behalf of the company seeking such tax deduction.</w:t>
      </w:r>
    </w:p>
    <w:p>
      <w:pPr>
        <w:spacing w:after="0" w:line="23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18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From time to time, we may apply to the Israel Innovation Authority for approval to allow a tax deduction for all research and development expenses during the year incurred. There can be no assurance that such request will be granted. If we will not be able to deduct research and development expenses during the year of the payment, we will be able to deduct research and development expenses during a period of three years commencing in the year of the payment of such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Services Tax</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Company constantly examines the potential applicability of the digital services tax legislation on its activities in the various jurisdictions. In addition, the Company studies the Organization for Economic Co-operation and Development (OECD) Pillar I and Pillar II publications and their effect on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Law for the Encouragement of Capital Investments, 1959, as amended</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Capital Investments (the “Investments Law”) provides tax benefits for Israeli companies meeting certain requirements and criteria. The Investment Law has undergone certain amendments and reforms in recent years.</w:t>
      </w:r>
    </w:p>
    <w:p>
      <w:pPr>
        <w:spacing w:after="0" w:line="18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Israeli parliament enacted a reform to the Investment Law, effective as of January 2011, according to which, a flat rate tax applies to companies eligible for the “Preferred Enterprise” status. In order to be eligible for Preferred Enterprise status, a company must meet minimum requirements to establish that it contributes to the country’s economic growth and is a competitive factor for the gross domestic product.</w:t>
      </w:r>
    </w:p>
    <w:p>
      <w:pPr>
        <w:spacing w:after="0" w:line="18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In December 22, 2016, an Amendment to the Investments Law was enacted and, effective January 1, 2017, added new tax benefit tracks for a “Preferred Technological Enterprise” and a “Special Preferred Technological Enterprise” that awards reduced tax rates to a technological industrial enterprise for the purpose of encouraging activity relating to the development of qualifying intangible assets. This amendment introduced the “Nexus Principles” based on OECD guidelines as part of the Base Erosion and Profit Shifting (BEPS) project, which govern the tax regime applicable to the Company from the 2017 tax year.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under the “Preferred Technology Enterprise” regime include:</w:t>
      </w:r>
    </w:p>
    <w:p>
      <w:pPr>
        <w:spacing w:after="0" w:line="252" w:lineRule="exact"/>
        <w:rPr>
          <w:sz w:val="20"/>
          <w:szCs w:val="20"/>
          <w:color w:val="auto"/>
        </w:rPr>
      </w:pPr>
    </w:p>
    <w:p>
      <w:pPr>
        <w:jc w:val="both"/>
        <w:ind w:left="1300" w:hanging="644"/>
        <w:spacing w:after="0" w:line="266"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corporate tax rate of 12% (or 7.5% in Development Area A) on qualifying income from eligible intellectual property (“Preferred Technology Income”), subject to conditions, including a minimal amount or ratio of annual R&amp;D expenditures and R&amp;D employees, and having at least 25% of annual income derived from export;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3" w:name="page94"/>
    <w:bookmarkEnd w:id="93"/>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capital gains tax rate on the sale of preferred intangible assets to foreign affiliated enterprise, provided that the asset was initially purchased from a foreign resident at an amount of NIS 200 million or more;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withholding tax rate for dividends paid from Preferred Technology Income (with an exemption from such withholding tax applying to dividends paid to an Israeli company). Such rate may be reduced to 4% on dividends paid to a foreign resident company, in case at least 90% of the company’s shares are held directly by, one or more, foreign entities, subject to valid certificate from the Israel Tax Authority.</w:t>
      </w:r>
    </w:p>
    <w:p>
      <w:pPr>
        <w:spacing w:after="0" w:line="19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These rates may be further reduced by applicable double tax treaties, subject to the receipt in advance of a valid certificate from the Israel Tax Authority.</w:t>
      </w:r>
    </w:p>
    <w:p>
      <w:pPr>
        <w:spacing w:after="0" w:line="16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effective tax rate applying to our Preferred Technology Enterprise is calculated based on the Nexus Principles, considering eligible and ineligible R&amp;D expenses incurred by us, as prescribed in the Regulations. Income from sources other than the Preferred Technology Income are taxable at regular corporate tax rates of 23% for 2023, 2024 and 2025.</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Full details regarding our Preferred and Preferred Technology Enterprises may be found in Note 4 of our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Industry (Taxes), 1969</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Law for the Encouragement of Industry (Taxes), 1969, generally referred to as the Industry Encouragement Law, provides several tax benefits for “Industry Companies.” The Industry Encouragement Law defines an “Industrial Company” as a company resident in Israel, of which 90% or more of its income in any tax year, other than income from defense loans, is derived from an “Industrial Enterprise” owned by it and located in Israel. An “Industrial Enterprise” is defined as an enterprise whose principal activity in a given tax year is industrial production. We currently qualify as an Industrial Company within the meaning of the Industry Encouragement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239" w:lineRule="exact"/>
        <w:rPr>
          <w:sz w:val="20"/>
          <w:szCs w:val="20"/>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over an eight-year period of the cost of purchased know-how and patents and rights to use a patent and know-how which are used for the development or advancement of the company;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and</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a three-year period.</w:t>
      </w:r>
    </w:p>
    <w:p>
      <w:pPr>
        <w:spacing w:after="0" w:line="225"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approached the Israeli Tax Authority and received on December 31, 2025 a renewal of the Tax Ruling regarding the Industrial Enterprise and Preferred Technological Enterprise, for the eligibility of the benefits under the Investment Law. The Tax Ruling is effective for the years 2023-2027.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 on Sales of Our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Non-Israeli Resident Shareholders</w:t>
      </w:r>
    </w:p>
    <w:p>
      <w:pPr>
        <w:spacing w:after="0" w:line="25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Shares will be taxed at the rate of 25%. However, if the shareholder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4" w:name="page95"/>
    <w:bookmarkEnd w:id="9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non-Israeli resident who derives capital gains from the sale of shares of an Israeli resident company, that were purchased after the company was listed for trading on a recognized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 Such exemption is also not applicable to a person whose gains from selling or disposing the shares are deemed to be business income.</w:t>
      </w:r>
    </w:p>
    <w:p>
      <w:pPr>
        <w:spacing w:after="0" w:line="190"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19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Regardless of whether non-Israeli shareholders may be liable for Israeli capital gains tax on the sale of our Shares, the payment of the consideration for such sale may be subject to withholding of Israeli tax at source and holders of our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8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 tax return must be filed by January 31 and July 31 for sales made in the last six months of the preceding year or the first six months of the current year. If all tax due was withheld at source, filing is not required if the income was not generated from business in Israel, the taxpayer has no other taxable income in Israel and is not obligated to pay surtax. Capital gains must also be reported on the annual income tax return.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Israeli Resident Shareholders</w:t>
      </w:r>
    </w:p>
    <w:p>
      <w:pPr>
        <w:spacing w:after="0" w:line="24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An Israeli resident corporation that derives capital gains from the sale of shares in an Israeli resident company that were purchased after the company was listed for trading on a stock exchange outside of Israel will generally be subject to tax on the real capital gains generated on such sale at the corporate tax rate of 23%. An Israeli resident individual will generally be subject to capital gain tax at the rate of 25%. However, if the individual shareholder claims deduction of interest expenditures or is a “substantial shareholder” at the time of the sale or at any time during the preceding 12-months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Individual holders dealing in securities in Israel for whom the income from the sale of securities is considered “business income” as defined in section 2(1) of the Tax Ordinance are taxed at the marginal tax rates applicable to business income (up to 47% in 2025). Individuals who are subject to tax in Israel are also subject to an additional income surtax (as described below). For this purpose, taxable income will include taxable capital gains from the sale of our shares and taxable income from dividend distributions. Certain Israeli institutions who are exempt from tax under section 9(2) or section 129(a)(1) of the Tax Ordinance (such as exempt trust fund, pension fund) may be exempt from capital gains tax from the sale of the shares.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b w:val="1"/>
          <w:bCs w:val="1"/>
          <w:color w:val="auto"/>
        </w:rPr>
        <w:t>Taxation of Dividends Paid on our Shares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Taxation of Non-Israeli Shareholders</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Non-Israeli residents (whether individuals or corporations) are generally subject to Israeli income tax on the receipt of dividends paid on our Shares at the rate of 25%, or 20% if the dividend is distributed from income attributed to a Preferred Enterprise or a Preferred Technological Enterprise, which tax will be withheld at source, unless relief is provided in an applicable tax treaty between Israel and the shareholder’s country of residence. If the shareholder is a “substantial shareholder” at the time of receiving the dividend or at any time during the preceding 12-month period, the applicable tax rate will be 30%. Such dividends are generally subject to Israeli withholding tax at a rate of 25% if the shares are registered with a nominee company (whether the recipient is a substantial shareholder or not).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reduced tax rate may be provided under an applicable tax treaty. Under the United States-Israel Tax Treaty, the maximum rate of tax withheld at source in Israel on dividends paid to a holder of our Shares, who is a Treaty U.S. Resident, is 25%.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The 12.5% rate is applicable only to dividends from regular income and not from Preferred Enterprise, or Preferred Technological Enterprise income. If conditions are met, dividends from these Enterprises are subject to a 15% withholding tax.</w:t>
      </w:r>
    </w:p>
    <w:p>
      <w:pPr>
        <w:spacing w:after="0" w:line="19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Non-resident individuals or corporations with dividend income from Israel, from which tax was withheld, are generally exempt from filing tax returns in Israel if the income was not derived from a business conducted in Israel, they have no other taxable income in Israel, and they are not subject to income surtax.</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Taxation of Israeli Shareholders</w:t>
      </w:r>
    </w:p>
    <w:p>
      <w:pPr>
        <w:spacing w:after="0" w:line="2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Israeli resident individual is generally subject to Israeli income tax on the receipt of dividends at the rate of 25%. With respect to a person who is a “substantial shareholder” at the time of receiving the dividend or at any time during the preceding 12-months period, the applicable tax rate is 30%. Such dividends are generally subject to Israeli withholding tax at a rate of 25%, if the shares are registered with a nominee company (whether the recipient is a substantial shareholder or not), and 20% if the dividend is distributed from income attributed to a Preferred Enterprise or a Preferred Technological Enterprise (see more details below).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liable to Israeli corporate tax. An exempt trust fund, pension fund or other entity that is exempt from tax under section 9(2) or section 129C(a)(1) of the Israeli Tax Ordinance is exempt from tax on dividend.</w:t>
      </w:r>
    </w:p>
    <w:p>
      <w:pPr>
        <w:spacing w:after="0" w:line="18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Surtax</w:t>
      </w:r>
      <w:r>
        <w:rPr>
          <w:rFonts w:ascii="Times New Roman" w:cs="Times New Roman" w:eastAsia="Times New Roman" w:hAnsi="Times New Roman"/>
          <w:sz w:val="18"/>
          <w:szCs w:val="18"/>
          <w:color w:val="auto"/>
        </w:rPr>
        <w:t>. Subject to the provisions of an applicable tax treaty, individuals who are subject to tax in Israel (whether such individual is an Israeli 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non-Israeli resident) are also subject to an additional tax at a rate of 3% on annual income (including, but not limited to, dividends, interest and capital gain) exceeding NIS 721,560 for 2025, which amount is linked to the annual change in the Israeli consumer price index. Additionally, effective from January 1, 2025, an additional surtax of 2% will apply exclusively to annual capital income (including from dividend distribution) exceeding NIS 721,560.</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w:t>
      </w:r>
      <w:r>
        <w:rPr>
          <w:rFonts w:ascii="Times New Roman" w:cs="Times New Roman" w:eastAsia="Times New Roman" w:hAnsi="Times New Roman"/>
          <w:sz w:val="18"/>
          <w:szCs w:val="18"/>
          <w:color w:val="auto"/>
        </w:rPr>
        <w:t>. Israeli law presently does not impose estate taxes. Gift tax may be applicable in certain cases.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4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The following is a summary of material United States federal income tax considerations generally applicable to United States Holders (as defined below) of our Shares. This summary deals only with our Shares held as capital assets within the meaning of Section 1221 of the U.S. Internal Revenue Code of 1986, as amended, (the “Code”). This summary also does not address the tax consequences that may be relevant to holders in special tax situations including, without limitation: dealers in securities, traders that elect to use a mark-to-market method of accounting, holders that own our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that are real estate investment trusts or regulated investment companies, grantor trusts, holders subject to special tax accounting rules as a result of any item of gross income with respect to our Shares being taken into account in an applicable financial statement, holders which are entities or arrangements treated as partnerships, S-corporations or other pass-through entities for United States federal income tax purposes, holders who acquired Shares pursuant to the exercise of any employee share option or otherwise as compensation or holders that directly, indirectly, or constructively own 10% or more of the total voting power or value of our outstanding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6" w:name="page97"/>
    <w:bookmarkEnd w:id="96"/>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This summary is based upon the Code, existing final, temporary and proposed regulations thereunder, judicial decisions and published positions of the Internal Revenue Service (the "IRS") and the U.S.-Israel income tax treaty in effect as of the date of this annual report, all of which are subject to change at any time (including changes in interpretation), possibly with retroactive effect, in a manner that could adversely affect a U.S. holder.</w:t>
      </w:r>
    </w:p>
    <w:p>
      <w:pPr>
        <w:spacing w:after="0" w:line="18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No ruling will be requested from the Internal Revenue Service, or IRS, regarding the tax consequences described herein, and there can be no assurance that the IRS will agree with the discussion set out below. This summary does not address all U.S. federal income tax matters that may be relevant to a particular prospective holder or all tax considerations that may be relevant with respect to an investment in our Shares, including the U.S. federal estate, gift, or alternative minimum tax consequences, or any state, local or non-U.S. tax consequences, of the acquisition, ownership and disposition of our Shares.</w:t>
      </w:r>
    </w:p>
    <w:p>
      <w:pPr>
        <w:spacing w:after="0" w:line="18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As used herein, the term “United States Holder” means a beneficial owner of our Shares that is, for U.S. federal income tax purposes, (i) an individual who is a citizen or resident of the United States; (ii) a corporation (or other entity taxable as a corporation for U.S. federal income tax purposes) created or organized in or under the laws of the United States or any political subdivision thereof; (iii) an estate the income of which is subject to U.S. federal income taxation regardless of its source; or (iv) a trust (a) that is subject to the supervision of a court within the United States and the control of one or more “United States persons” as defined in Internal Revenue Code Section 7701(a)(30), or (b) that has a valid election in effect under applicable United States Treasury Regulations to be treated as a “United States person.”</w:t>
      </w:r>
    </w:p>
    <w:p>
      <w:pPr>
        <w:spacing w:after="0" w:line="18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United States federal income tax purposes acquires our Shares, the tax treatment of a partner in the partnership generally will depend upon the status of the partner and the activities of the partnership. Partners of a partnership considering an investment in our Shares should consult their tax advisors regarding the United States federal income tax consequences of acquiring, owning, and disposing of our Shares.</w:t>
      </w:r>
    </w:p>
    <w:p>
      <w:pPr>
        <w:spacing w:after="0" w:line="182" w:lineRule="exact"/>
        <w:rPr>
          <w:sz w:val="20"/>
          <w:szCs w:val="20"/>
          <w:color w:val="auto"/>
        </w:rPr>
      </w:pPr>
    </w:p>
    <w:p>
      <w:pPr>
        <w:jc w:val="both"/>
        <w:ind w:right="20" w:firstLine="324"/>
        <w:spacing w:after="0" w:line="273" w:lineRule="auto"/>
        <w:rPr>
          <w:sz w:val="20"/>
          <w:szCs w:val="20"/>
          <w:color w:val="auto"/>
        </w:rPr>
      </w:pPr>
      <w:r>
        <w:rPr>
          <w:rFonts w:ascii="Times New Roman" w:cs="Times New Roman" w:eastAsia="Times New Roman" w:hAnsi="Times New Roman"/>
          <w:sz w:val="18"/>
          <w:szCs w:val="18"/>
          <w:b w:val="1"/>
          <w:bCs w:val="1"/>
          <w:color w:val="auto"/>
        </w:rPr>
        <w:t>THE SUMMARY OF UNITED STATES FEDERAL INCOME TAX CONSEQUENCES SET OUT BELOW IS FOR GENERAL INFORMATION ONLY. ALL CURRENT OR PROSPECTIVE INVESTORS SHOULD CONSULT THEIR TAX ADVISORS AS TO THE PARTICULAR TAX CONSEQUENCES TO THEM OF OWNING AND DISPOSING OF OUR SHARES, INCLUDING THE APPLICABILITY AND EFFECT OF STATE, LOCAL AND NON-U.S. TAX LAWS AND POSSIBLE CHANGES IN TAX LAW</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4"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the amount of dividends paid to a U.S. Holder of our Shares, before reduction for any Israeli taxes withheld therefrom, generally will be taxable as dividend income from foreign sources to the extent paid out of our current or accumulated earnings and profits (as determined for U.S. federal income tax purposes). Distributions in excess of earnings and profits are generally treated as a non-taxable return of capital to the extent of the U.S. Holder’s adjusted tax basis in those Shares and thereafter as capital gain. We do not maintain calculations of our earnings and profits under U.S. federal tax principles. Therefore, U.S. Holders should expect that a distribution will generally be treated as a dividend even if that distribution would otherwise be treated as a non-taxable return of capital or as capital gain under the rules described above. In addition to the income tax on dividends discussed above, certain non-corporate U.S. holders will also be subject to the 3.8% tax on dividends as discussed below under “Net Investment Income Tax”. A U.S. holder that is a corporation will not be eligible for any dividends received deduction, except as provided by Sections 245 and 245A of the Code. The amount of any distribution paid in foreign currency will be equal to the U.S. dollar value of such currency, translated at the spot rate of exchange on the date such distribution is included in the U.S. Holder’s income, regardless of whether the payment is in fact converted into U.S. dollars at that time. If not converted, the U.S. holder will have a basis in the foreign currency equal to its U.S. dollar value on the receipt date, with any subsequent gain or loss treated as ordinary income or loss.</w:t>
      </w:r>
    </w:p>
    <w:p>
      <w:pPr>
        <w:spacing w:after="0" w:line="19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Dividends paid on our Shares generally will constitute “foreign source income” for purposes of the foreign tax credit. Israeli withholding tax (if any) paid on dividends on our Shares, at the rate provided by the U.S.-Israel Tax Treaty, may subject to limitations and conditions, be treated as foreign income tax eligible for credit against holder’s U.S. federal income tax liability or, at holder’s election, eligible for deduction in computing holder’s U.S. federal taxable income. If a refund of the tax withheld is available under the laws of the state of Israel or under the U.S.-Israel Tax Treaty, the amount of tax withheld that is refundable will not be eligible for such credit against a U.S. Holder’s U.S. federal income tax liability (and will not be eligible for the deduction against U.S. federal taxable income). If the dividends are taxed as “qualified dividend income,” as discussed below,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credit is calculated separately with respect to specific classes of income. For this purpose, any dividends distributed by us with respect to Shares will generally constitute “passive category income.”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7" w:name="page98"/>
    <w:bookmarkEnd w:id="9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rules governing the treatment of foreign taxes imposed on a U.S. Holder and foreign tax credits are complex, and U.S. Holders should consult their tax advisors about the impact of these rules in their particular situations.</w:t>
      </w:r>
    </w:p>
    <w:p>
      <w:pPr>
        <w:spacing w:after="0" w:line="189"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Dividends received by certain non-corporate U.S. Holders (including individuals) may be “qualified dividend income,” which is taxed at the lower capital gain rate of 20%, provided that (i) either our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U.S. Holder for either our taxable year in which the dividend is paid or our preceding taxable year; (iii) the U.S. Holder satisfies certain holding period and other requirements; and (iv) the U.S. Holder is not under an obligation to make related payments with respect to positions in substantially similar or related property. In this regard, shares generally are considered to be readily tradable on an established securities market in the United States if they are listed on the Nasdaq, as is the case with our Shares. U.S. Holders should consult their tax advisors regarding the availability of the reduced tax rate on dividends paid with respect to our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Shares</w:t>
      </w:r>
    </w:p>
    <w:p>
      <w:pPr>
        <w:spacing w:after="0" w:line="25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a U.S. Holder generally will recognize capital gain or loss for U.S. federal income tax purposes on the sale or other taxable disposition of our Shares equal to the difference, if any, between the amount realized and the U.S. Holder’s adjusted tax basis in those Shares. A U.S. Holder’s initial tax basis in shares generally will equal the cost of such shares. If any foreign tax is imposed on the sale, exchange or other disposition of our Shares, a U.S. Holder’s amount realized will include the gross amount of the proceeds of the disposition before deduction of the tax. In general, capital gains recognized by a non-corporate U.S. Holder, including an individual, are treated as long term capital gain and subject to a lower tax rate (currently up to 20%) if U.S. Holder’s holding period in our Shares exceeds one year. The deductibility of capital losses is subject to limitations. Additionally, certain non-corporate U.S. holders may be subject to a 3.8% tax on net gains as discussed below under “Net Investment Income Tax” Any such gain or loss generally will be treated as United States source income or loss for purposes of the foreign tax credit. Because gain for the sale or other taxable disposition of our Shares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any foreign tax imposed on any such sale or other taxable disposition, may be significantly limited. In addition, if you are eligible for the benefit of the U.S.-Israel Tax Treaty and pay Israeli tax in excess of the amount applicable to you under such convention or if the Israeli tax paid is refundable, you will not be able to claim any foreign tax credit or deduction with respect to such excess Israeli tax. You should consult your tax advisor as to whether the Israeli tax on gains may be creditable or deductible in light of your particular circumstances and your ability to apply the provisions of the U.S.-Israel Tax Treaty.</w:t>
      </w: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consideration received upon the sale or other taxable disposition of our Shares is paid in foreign currency, the amount realized will be the U.S. dollar value of the payment received, translated at the spot rate of exchange on the date of taxable disposition. If our Shares are treated as traded on an established securities market, a cash basis U.S. Holder and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taxable disposition. An accrual basis U.S. Holder that does not make the special election will recognize exchange gain or loss to the extent attributable to the difference between the exchange rates on the date of the taxable disposition and the settlement date, and such exchange gain or loss generally will constitute ordinary income or loss.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Net Investment Income Tax</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an additional 3.8% tax on all or a portion of their “net investment income,” which includes dividends and net gains from the sale or other dispositions of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4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(determined on the basis of a quarterly average) during such year is attributable to assets that produce or are held for the production of passive income.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25% or more (by value) of the stock.</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current and anticipated composition of our income, assets and operations we do not expect to be treated as a PFIC for the current taxable year or in the foreseeable future. However, whether we are a PFIC is a factual determination that must be made annually after the close of each taxable year. This determination will depend on, among other things, the composition of the Company’s income and assets, as well as the market value of our Shares and assets, which may fluctuate significantly. In addition, it is possible that the IRS may take a contrary position with respect to our determination in any particular year. Therefore, there can be no assurance that we will not be classified as a PFIC for the current taxable year or any future taxable year.</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adverse U.S. federal income tax consequences could apply to a U.S. Holder if we are treated as a PFIC for any taxable year during which such U.S. Holder holds our Shares. Under the PFIC rules, if we were considered a PFIC at any time that a U.S. Holder holds our Shares, we would continue to be treated as a PFIC with respect to such Holder’s investment unless (i) we cease to be a PFIC; and (ii) the U.S. Holder has made a “deemed sale” election under the PFIC rules. If such election is made, a U.S. Holder will be deemed to have sold our Shares at their fair market value on the last day of our last taxable year in which we were a PFIC, and any gain from the deemed sale would be subject to the rules described in the second following paragraph. After the deemed sale election, so long as we do not become a PFIC in a subsequent taxable year, the Shares with respect to which such election was made will not be treated as shares in a PFIC.</w:t>
      </w:r>
    </w:p>
    <w:p>
      <w:pPr>
        <w:spacing w:after="0" w:line="190"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U.S. Holders should consult their tax advisors as to the possibility and consequences of making a deemed sale election if we are (or were to become) and then cease to be a PFIC, and such election becomes available.</w:t>
      </w:r>
    </w:p>
    <w:p>
      <w:pPr>
        <w:spacing w:after="0" w:line="16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If we are a PFIC for any taxable year that a U.S. Holder holds our Shares, unless the U.S. Holder makes one of the elections described below, any gain recognized by the U.S. Holder on a sale or other disposition of our Shares would be allocated pro-rata over the U.S. Holder’s holding period for the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U.S. Holder on our Shares exceeds 125% of the average of the annual distributions on the Shares received during the preceding three years or the U.S. Holder’s holding period, whichever is shorter, that distribution would be subject to taxation in the same manner as gain on the sale or other disposition of our Shares if we were a PFIC, described above. If we are treated as a PFIC with respect to a U.S. Holder for any taxable year, the U.S. Holder will be deemed to own shares in any of the foreign entities in which we may hold equity interests that also are PFICs, or lower-tier PFICs.</w:t>
      </w:r>
    </w:p>
    <w:p>
      <w:pPr>
        <w:spacing w:after="0" w:line="2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elections may be available that would result in alternative treatments (such as mark-to-market treatment or treatment as a qualified electing fund (“QEF”)) of our Shares if we are considered a PFIC. However, we do not expect to furnish U.S. Holders of our Shares with the tax information necessary to enable a U.S. Holder to make a QEF election. In addition, an election for mark-to-market treatment is unlikely to be available to mitigate any adverse tax consequences with respect to a subsidiary that is also a PFIC. If we are considered a PFIC, a U.S. Holder will also be subject to annual information reporting requirements. U.S. Holders should consult their tax advisors about the potential application of the PFIC rules to an investment in our Shares and the potential consequences related thereto.</w:t>
      </w:r>
    </w:p>
    <w:p>
      <w:pPr>
        <w:spacing w:after="0" w:line="186" w:lineRule="exact"/>
        <w:rPr>
          <w:sz w:val="20"/>
          <w:szCs w:val="20"/>
          <w:color w:val="auto"/>
        </w:rPr>
      </w:pPr>
    </w:p>
    <w:p>
      <w:pPr>
        <w:jc w:val="both"/>
        <w:ind w:right="20" w:firstLine="324"/>
        <w:spacing w:after="0" w:line="276" w:lineRule="auto"/>
        <w:rPr>
          <w:sz w:val="20"/>
          <w:szCs w:val="20"/>
          <w:color w:val="auto"/>
        </w:rPr>
      </w:pPr>
      <w:r>
        <w:rPr>
          <w:rFonts w:ascii="Times New Roman" w:cs="Times New Roman" w:eastAsia="Times New Roman" w:hAnsi="Times New Roman"/>
          <w:sz w:val="18"/>
          <w:szCs w:val="18"/>
          <w:b w:val="1"/>
          <w:bCs w:val="1"/>
          <w:color w:val="auto"/>
        </w:rPr>
        <w:t>United States Holders should consult their tax advisors regarding whether we are a PFIC as well as the potential U.S. federal income tax consequences of holding and disposing of our Shares if we are or become classified as a PFIC, including the possibility of making a mark-to-market election in their particular circumstances.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Distributions on our Shares and proceeds from the sale or other taxable disposition of our Shares may be subject to information reporting to the IRS and possible backup withholding. Backup withholding will not apply, however, to a United States Holder who furnishes a correct taxpayer identification number and certifies that it is not subject to backup withholding or that is otherwise exempt from backup withholding. United States Holders that are required to establish their exempt status generally must provide such certification on IRS Form W-9.</w:t>
      </w:r>
    </w:p>
    <w:p>
      <w:pPr>
        <w:spacing w:after="0" w:line="18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 withheld under the backup withholding rules will be refundable or creditable against the U.S. Holder’s U.S. federal income tax liability, provided the required information is timely furnished to the IRS. U.S. Holders should consult their tax advisors regarding the application of the United States information reporting and backup withholding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Financial Asset Reporting</w:t>
      </w:r>
    </w:p>
    <w:p>
      <w:pPr>
        <w:spacing w:after="0" w:line="24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Certain U.S. Holders are required to report their holdings of certain foreign financial assets, including our Shares, on IRS Form 8938 (Statement of Specified Foreign Financial Assets) if the aggregate value of all of these assets exceeds certain threshold amounts, subject to certain exceptions (including an exception for Shares held in accounts maintained by certain financial institutions). Penalties can apply if U.S. Holders fail to satisfy such reporting requirements. U.S. Holders should consult their tax advisors regarding the application of these reporting requirements on the ownership and disposition of our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Any statement in this Annual Report about any of our contracts or other documents is not necessarily complete. If the contract or document is filed as an exhibit to this Annual Report, the contract or document is deemed to modify the description contained in this Annual Report. You must review the exhibits themselves for a complete description of the contract or document.</w:t>
      </w:r>
    </w:p>
    <w:p>
      <w:pPr>
        <w:spacing w:after="0" w:line="18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periodic reports on Form 6-K. The SEC maintains an Internet website that contains reports and other information about issuers, like us, that file electronically with the SEC. The address of that website is www.sec.gov. In addition, copies of all information and documents pertaining to press releases, media conferences, investor updates and presentations at analyst and investor presentation conferences can be downloaded from our website www.nexxen.com. The information contained on our website is not a part of this Form 20-F.</w:t>
      </w:r>
    </w:p>
    <w:p>
      <w:pPr>
        <w:spacing w:after="0" w:line="186"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furnish or make available to our shareholders certain reports including Annual Reports on Form 20-F, periodic reports on Form 6-K and other information, with the SEC pursuant to the rules and regulations of the SEC that apply to foreign private issuers.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intends to submit any annual report provided to security holders in electronic format as an exhibit to a periodic report on Form 6-K.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which are discussed in detail below. See Note 18e and 18f of our audited consolidated financial statements for further information about market risk sensitivity.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have no significant exposure to interest rate risk as we have no significant long-term loans. However, our future interest income may fall short of expectations due to changes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41"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Transactions in foreign currencies are translated to the respective functional currencies of us and our subsidiaries at exchange rates at the dates of the transactions. Monetary assets and liabilities denominated in foreign currencies at the reporting date are translated into the functional currency at the exchange rate on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as of the end of the year.</w:t>
      </w:r>
    </w:p>
    <w:p>
      <w:pPr>
        <w:spacing w:after="0" w:line="18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Non-monetary assets and liabilities denominated in foreign currencies that are measured at fair value are retranslated to the functional currency at the exchange rate on the date that the fair value was determined. Non-monetary items that are measured in terms of historical cost in a foreign currency are translated using the exchange rate on the date of the transaction.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operations</w:t>
      </w:r>
    </w:p>
    <w:p>
      <w:pPr>
        <w:spacing w:after="0" w:line="241"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assets and liabilities of foreign operations, including goodwill and fair value adjustments arising on acquisition, are translated to U.S. dollars at exchange rates at the reporting date. The income and expenses of foreign operations are translated to U.S. dollars at exchange rates at the dates of the transactions.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Foreign currency differences are recognized in other comprehensive income and are presented in equity.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regarding material modifications to the rights of our security holders, see Item 9.A. “</w:t>
      </w:r>
      <w:r>
        <w:rPr>
          <w:rFonts w:ascii="Times New Roman" w:cs="Times New Roman" w:eastAsia="Times New Roman" w:hAnsi="Times New Roman"/>
          <w:sz w:val="18"/>
          <w:szCs w:val="18"/>
          <w:i w:val="1"/>
          <w:iCs w:val="1"/>
          <w:color w:val="auto"/>
        </w:rPr>
        <w:t>Offer and Listing Details.</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Company’s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can provide only reasonable assurance of achieving the desired objectives of the disclosure controls and procedures. Our management, with the participation of our Chief Executive Officer and Chief Financial Officer, has evaluated the effectiveness of the design and operation of our disclosure controls and procedures as of December 31, 2025. Based upon that evaluation, our Chief Executive Officer and Chief Financial Officer concluded that, as of December 31, 2025,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and for its assessment of the effectiveness of internal control over financial reporting. 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2025, our internal control over financial reporting was effective.</w:t>
      </w:r>
    </w:p>
    <w:p>
      <w:pPr>
        <w:spacing w:after="0" w:line="20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regarding internal control over financial reporting firm because we are currently an emerging growth company in accordance with the Exchange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16.A. AUDIT COMMITTEE FINANCIAL EXPERT</w:t>
      </w:r>
    </w:p>
    <w:p>
      <w:pPr>
        <w:spacing w:after="0" w:line="2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board of directors has determined that Lisa Klinger qualifies as an “audit committee financial expert”, as defined by the rules of the SEC and has the requisite financial experience defined by the Nasdaq rules. In addition, Ms. Klinger is independent as such term is defined in Rule 10A-3(b)(1) under the Exchange Act and under the listing standards of the Nasdaq Global Market. See Item 6. “</w:t>
      </w:r>
      <w:r>
        <w:rPr>
          <w:rFonts w:ascii="Times New Roman" w:cs="Times New Roman" w:eastAsia="Times New Roman" w:hAnsi="Times New Roman"/>
          <w:sz w:val="18"/>
          <w:szCs w:val="18"/>
          <w:i w:val="1"/>
          <w:iCs w:val="1"/>
          <w:color w:val="auto"/>
        </w:rPr>
        <w:t>Directors, Senior Management and Employees—6.C.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w:t>
      </w:r>
      <w:r>
        <w:rPr>
          <w:rFonts w:ascii="Times New Roman" w:cs="Times New Roman" w:eastAsia="Times New Roman" w:hAnsi="Times New Roman"/>
          <w:sz w:val="18"/>
          <w:szCs w:val="18"/>
          <w:color w:val="auto"/>
        </w:rPr>
        <w:t>” of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16.B. CODE OF ETHICS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our employees, officers and directors, including our principal executive, principal financial and principal accounting officers. Our Code of Ethics and Conduct addresses, among other things, competition and fair dealing, conflicts of interest, financial matters and external reporting, company funds and assets, confidentiality and corporate opportunity requirements and the process for reporting violations of the Code of Ethics and Conduct, employee misconduct, conflicts of interest or other violations. A copy of the code is delivered to every employee of the Company and all of its subsidiaries and is available to investors and others on our website at investors.nexxen.com/governance/governance-overview or by contacting our investor relations department. Our Code of Ethics and Conduct is intended to meet the definition of “code of ethics” under Item 16.B. of Form 20-F.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16.C. PRINCIPAL ACCOUNTANT FEES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Somekh Chaikin, a member firm of KPMG International (“KPMG”), located in Tel Aviv, Israel (PCAOB ID No. 1057), has served as our independent registered public accounting firm for the fiscal years ended December 31, 2025 and 2024. The following are KPMG fees for professional services in each of the respective years:</w:t>
      </w:r>
    </w:p>
    <w:p>
      <w:pPr>
        <w:spacing w:after="0" w:line="19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76"/>
              </w:rPr>
              <w:t>thousands)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6"/>
                <w:szCs w:val="26"/>
                <w:color w:val="auto"/>
                <w:vertAlign w:val="superscript"/>
              </w:rPr>
              <w:t>(1)</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741</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r>
      <w:tr>
        <w:trPr>
          <w:trHeight w:val="230"/>
        </w:trPr>
        <w:tc>
          <w:tcPr>
            <w:tcW w:w="946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6"/>
                <w:szCs w:val="26"/>
                <w:color w:val="auto"/>
                <w:vertAlign w:val="superscript"/>
              </w:rPr>
              <w:t>(2)</w:t>
            </w:r>
          </w:p>
        </w:tc>
        <w:tc>
          <w:tcPr>
            <w:tcW w:w="136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7"/>
        </w:trPr>
        <w:tc>
          <w:tcPr>
            <w:tcW w:w="868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6"/>
                <w:szCs w:val="26"/>
                <w:color w:val="auto"/>
                <w:vertAlign w:val="superscript"/>
              </w:rPr>
              <w:t>(3)</w:t>
            </w:r>
          </w:p>
        </w:tc>
        <w:tc>
          <w:tcPr>
            <w:tcW w:w="7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6"/>
                <w:szCs w:val="26"/>
                <w:color w:val="auto"/>
                <w:vertAlign w:val="superscript"/>
              </w:rPr>
              <w:t>(4)</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20"/>
                <w:szCs w:val="20"/>
                <w:color w:val="auto"/>
              </w:rPr>
            </w:pPr>
          </w:p>
        </w:tc>
      </w:tr>
      <w:tr>
        <w:trPr>
          <w:trHeight w:val="216"/>
        </w:trPr>
        <w:tc>
          <w:tcPr>
            <w:tcW w:w="94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r>
      <w:tr>
        <w:trPr>
          <w:trHeight w:val="230"/>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the aggregate fees billed for professional services rendered for the audit of our annual financial statements or services that are normally provided by the accountant in connection with statutory and regulatory filings or engagements.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or review of our financial statements and are not reported under audit fees. These fees primarily consist of accounting consultations regarding the accounting treatment of matters that occur in the regular course of business, implications of new accounting pronouncements and other accounting issues that occur from time to time.</w:t>
      </w:r>
    </w:p>
    <w:p>
      <w:pPr>
        <w:spacing w:after="0" w:line="19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are the aggregate fees billed for professional services rendered for tax compliance, tax advice, and tax planning. These fees primarily consist of charges for professional services related to tax compliance, tax advice, and tax planning. Tax fees can encompass assistance with tax return preparation, tax audits, and consultations on tax-related matters</w:t>
      </w:r>
      <w:r>
        <w:rPr>
          <w:rFonts w:ascii="Times New Roman" w:cs="Times New Roman" w:eastAsia="Times New Roman" w:hAnsi="Times New Roman"/>
          <w:sz w:val="18"/>
          <w:szCs w:val="18"/>
          <w:i w:val="1"/>
          <w:iCs w:val="1"/>
          <w:color w:val="auto"/>
        </w:rPr>
        <w: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the aggregate fees billed for products and services provided, other than the services reported under audit fees, audit-related fees, and tax fees.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4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advance approval of our audit committee or members thereof, to whom approval authority has been delegated, is required for all audit and non-audit services provided by our auditors. All the services were pre-approved to the extent required.</w:t>
      </w:r>
    </w:p>
    <w:p>
      <w:pPr>
        <w:spacing w:after="0" w:line="16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16.D. EXEMPTIONS FROM THE LISTING STANDARDS FOR AUDIT COMMITTEES.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16.E. PURCHASES OF EQUITY SECURITIES BY THE ISSUER AND AFFILIATED PURCHASERS.</w:t>
      </w:r>
    </w:p>
    <w:p>
      <w:pPr>
        <w:spacing w:after="0" w:line="24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have effected several share repurchase programs over the years. From March 1, 2022, when we launched a series of share repurchase programs, through December 31, 2025, we and our subsidiaries repurchased 29,794,967 Shares, or 38.45% of shares outstanding, reflecting a total investment of $258.2 million.</w:t>
      </w:r>
    </w:p>
    <w:p>
      <w:pPr>
        <w:spacing w:after="0" w:line="19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Our current outstanding share repurchase program is for the repurchase of $20.0 million of Shares, which commenced on September 19, 2025 and is scheduled to continue until the earlier of March 19, 2026 or completion. As of December 31, 2025, we had $7.5 million remaining on the repurchase program authorization.</w:t>
      </w:r>
    </w:p>
    <w:p>
      <w:pPr>
        <w:spacing w:after="0" w:line="18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Until the AIM-delisting on February 14, 2025, our share repurchases were effected on the AIM Market, and beginning February 18, 2025 the share repurchases are effected on Nasdaq. All share repurchases are made in accordance with all applicable securities laws and regulations.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20, 2025, we publicly announced an additional share repurchase program authorizing the repurchase of up to $40.0 million of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repurchase plan is expected to commence upon completion of the ongoing existing repurchase plan.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provides detailed information.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Ordinary</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Ordinary</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2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6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3"/>
                <w:szCs w:val="2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line="262" w:lineRule="exact"/>
              <w:rPr>
                <w:sz w:val="20"/>
                <w:szCs w:val="20"/>
                <w:color w:val="auto"/>
              </w:rPr>
            </w:pPr>
            <w:r>
              <w:rPr>
                <w:rFonts w:ascii="Times New Roman" w:cs="Times New Roman" w:eastAsia="Times New Roman" w:hAnsi="Times New Roman"/>
                <w:sz w:val="18"/>
                <w:szCs w:val="18"/>
                <w:b w:val="1"/>
                <w:bCs w:val="1"/>
                <w:color w:val="auto"/>
                <w:w w:val="93"/>
              </w:rPr>
              <w:t xml:space="preserve">Programs </w:t>
            </w:r>
            <w:r>
              <w:rPr>
                <w:rFonts w:ascii="Times New Roman" w:cs="Times New Roman" w:eastAsia="Times New Roman" w:hAnsi="Times New Roman"/>
                <w:sz w:val="29"/>
                <w:szCs w:val="29"/>
                <w:b w:val="1"/>
                <w:bCs w:val="1"/>
                <w:color w:val="auto"/>
                <w:w w:val="93"/>
                <w:vertAlign w:val="superscript"/>
              </w:rPr>
              <w:t>(1)</w:t>
            </w:r>
          </w:p>
        </w:tc>
        <w:tc>
          <w:tcPr>
            <w:tcW w:w="1220" w:type="dxa"/>
            <w:vAlign w:val="bottom"/>
            <w:gridSpan w:val="3"/>
          </w:tcPr>
          <w:p>
            <w:pPr>
              <w:jc w:val="center"/>
              <w:ind w:right="100"/>
              <w:spacing w:after="0" w:line="262" w:lineRule="exact"/>
              <w:rPr>
                <w:sz w:val="20"/>
                <w:szCs w:val="20"/>
                <w:color w:val="auto"/>
              </w:rPr>
            </w:pPr>
            <w:r>
              <w:rPr>
                <w:rFonts w:ascii="Times New Roman" w:cs="Times New Roman" w:eastAsia="Times New Roman" w:hAnsi="Times New Roman"/>
                <w:sz w:val="18"/>
                <w:szCs w:val="18"/>
                <w:b w:val="1"/>
                <w:bCs w:val="1"/>
                <w:color w:val="auto"/>
                <w:w w:val="93"/>
              </w:rPr>
              <w:t xml:space="preserve">Programs </w:t>
            </w:r>
            <w:r>
              <w:rPr>
                <w:rFonts w:ascii="Times New Roman" w:cs="Times New Roman" w:eastAsia="Times New Roman" w:hAnsi="Times New Roman"/>
                <w:sz w:val="29"/>
                <w:szCs w:val="29"/>
                <w:b w:val="1"/>
                <w:bCs w:val="1"/>
                <w:color w:val="auto"/>
                <w:w w:val="93"/>
                <w:vertAlign w:val="superscript"/>
              </w:rPr>
              <w:t>(1)</w:t>
            </w:r>
          </w:p>
        </w:tc>
      </w:tr>
      <w:tr>
        <w:trPr>
          <w:trHeight w:val="22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1,060,678</w:t>
            </w:r>
          </w:p>
        </w:tc>
        <w:tc>
          <w:tcPr>
            <w:tcW w:w="2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1,060,678</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27,827,281</w:t>
            </w:r>
          </w:p>
        </w:tc>
        <w:tc>
          <w:tcPr>
            <w:tcW w:w="100" w:type="dxa"/>
            <w:vAlign w:val="bottom"/>
            <w:shd w:val="clear" w:color="auto" w:fill="CCEEFF"/>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1,107,268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1,107,268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17,447,993</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1,498,918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1,498,918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5,479,185</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April 1 – April 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1,877,280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1,877,280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39,027,629</w:t>
            </w: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May 31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24,769,347</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16,389,723</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7,214,691</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2,688,457</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456,215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456,215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18,305,514</w:t>
            </w: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October 1 – October 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517,500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13,854,082</w:t>
            </w: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 November 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10,806,077</w:t>
            </w: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December 1 – December 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7,514,986</w:t>
            </w:r>
          </w:p>
        </w:tc>
      </w:tr>
      <w:tr>
        <w:trPr>
          <w:trHeight w:val="27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10,840,359</w:t>
            </w: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10,840,359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60" w:hanging="652"/>
        <w:spacing w:after="0" w:line="261"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program of $50.0 million which was publicly announced on October 17, 2024, commenced on November 19, 2024 and was completed on April 9, 2025. The repurchase program of $50.0 million which was publicly announced on March 4, 2025, commenced on April 9, 2025 and was completed on September 18, 2025. The repurchase program of $20.0 million which was publicly announced on August 15, 2025, commenced on September 19, 2025 and will end at the earlier of March 19, 2026 or completion.</w:t>
      </w:r>
    </w:p>
    <w:p>
      <w:pPr>
        <w:sectPr>
          <w:pgSz w:w="11900" w:h="16838" w:orient="portrait"/>
          <w:cols w:equalWidth="0" w:num="1">
            <w:col w:w="11240"/>
          </w:cols>
          <w:pgMar w:left="320" w:top="347" w:right="33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16.F. CHANGE IN REGISTRANT’S CERTIFYING ACCOUNTANT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16.G. CORPORATE GOVERNANCE</w:t>
      </w:r>
    </w:p>
    <w:p>
      <w:pPr>
        <w:spacing w:after="0" w:line="25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 xml:space="preserve">As a foreign private issuer, we are permitted to comply with Israeli corporate governance practices instead of the Nasdaq Stock Market requirements,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we disclose those Nasdaq Stock Market requirements with which we do not comply and the equivalent Israeli requirement that we follow instead.</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on this “foreign private issuer exemption” with respect to the quorum requirement for shareholder meetings. As permitted under the Companies Law, pursuant to our amended and restated articles of association, the quorum required for an ordinary meeting of shareholders consists of at least two shareholders present in person, by proxy or by other voting instrument in accordance with the Companies Law who hold at least 25% of the voting power of our shares (and if the meeting is adjourned for a lack of quorum, the quorum for such adjourned meeting will be, subject to certain exceptions, any number of shareholders), instead of 33-1/3% of the issued share capital as required under the corporate governance rules of Nasdaq. We otherwise comply with the rules generally applicable to U.S. domestic companies listed on Nasdaq. We may, however, in the future decide to use the “foreign private issuer exemption” and opt out of some or all of the other corporate governance rules.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 “</w:t>
      </w:r>
      <w:r>
        <w:rPr>
          <w:rFonts w:ascii="Times New Roman" w:cs="Times New Roman" w:eastAsia="Times New Roman" w:hAnsi="Times New Roman"/>
          <w:sz w:val="18"/>
          <w:szCs w:val="18"/>
          <w:i w:val="1"/>
          <w:iCs w:val="1"/>
          <w:color w:val="auto"/>
        </w:rPr>
        <w:t>Directors, Senior Management and Employees—6C. Board Practices.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16.H. MINE SAFETY DISCLOSURE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16.I.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16.J. INSIDER TRADING POLICIES</w:t>
      </w:r>
    </w:p>
    <w:p>
      <w:pPr>
        <w:spacing w:after="0" w:line="24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have adopted a written insider trading policy governing the purchase, sale, and other dispositions of our securities by directors, senior management, and employees that are reasonably designed to promote compliance with applicable insider trading laws, rules and regulations, and any listing standards applicable to us. In addition, with regard to the Company trading in its own securities, it is our policy to comply with the U.S. federal securities laws and the applicable exchange listing requirements.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the Insider Trading Policy, as amended on March 3, 2026, is filed as Exhibit 11.1 to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16.K. CYBERSECURITY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risks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quarterly risk assessments to identify cybersecurity threats, as well as assessments in the event of a material change in our business practices that may affect information systems, products, services, and our broader enterprise IT environment.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90"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Following these risk assessments, we design, implement, and maintain reasonable safeguards to minimize identified risks; reasonably address any identified gaps in existing safeguards; and regularly monitor the effectiveness of our safeguards.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overall risk management system includes:</w:t>
      </w:r>
    </w:p>
    <w:p>
      <w:pPr>
        <w:spacing w:after="0" w:line="252" w:lineRule="exact"/>
        <w:rPr>
          <w:sz w:val="20"/>
          <w:szCs w:val="20"/>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standards and processes based upon National Institute of Standards and Technology (“NIST”), the International Organization for Standardization and other applicable industry standards;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assessments and deployment technical safeguards to improve the protection of our information systems;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06" w:name="page107"/>
    <w:bookmarkEnd w:id="106"/>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3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3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our third-party service providers that require them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17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continue to make investments to enhance the protection of our information technology systems and our business from cybersecurity incidents, including maintaining a cybersecurity insurance policy.</w:t>
      </w:r>
    </w:p>
    <w:p>
      <w:pPr>
        <w:spacing w:after="0" w:line="163"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20-F, including the risk factor entitled “</w:t>
      </w:r>
      <w:r>
        <w:rPr>
          <w:rFonts w:ascii="Times New Roman" w:cs="Times New Roman" w:eastAsia="Times New Roman" w:hAnsi="Times New Roman"/>
          <w:sz w:val="18"/>
          <w:szCs w:val="18"/>
          <w:i w:val="1"/>
          <w:iCs w:val="1"/>
          <w:color w:val="auto"/>
        </w:rPr>
        <w:t>We are subject to cybersecurity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impersonation and fraud schemes that exploit our brand, and any significant failure or breach of our systems, or those of our third party vendors, could harm our business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with the assistance of the audit committee, oversees the Company’s cybersecurity programs and strategies.</w:t>
      </w:r>
    </w:p>
    <w:p>
      <w:pPr>
        <w:spacing w:after="0" w:line="23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audit committee, in collaboration with senior management, oversees the Company’s guidelines and policies with respect to risk assessment and risk management, including risk exposures related to information security, cybersecurity and data protection, and the steps management has taken to monitor and control such exposures.</w:t>
      </w:r>
    </w:p>
    <w:p>
      <w:pPr>
        <w:spacing w:after="0" w:line="182"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Our Chief Technology Officer (“CTO”), who reports to our Chief Executive Officer, is primarily responsible for the assessment and management our material risks from cybersecurity threats. Our CTO oversees our cybersecurity policies, processes, and response strategies, including those described in “Risk Management and Strategy” above. Our security team, which reports to the CTO, maintains our security incident response plan and manages day-to-day incident identification, assessment and management, leads our overall cybersecurity risk management program, including ongoing assessments of system vulnerabilities and mitigation efforts, and continuously updates our CTO on such matters. Our security team includes members that have been involved in cybersecurity for approximately 20 years, with project experience relating to SOC-2, ISO 27001, NIST Cyber Security Framework, SOX, GDPR, Business Continuity Planning, Disaster Recovery Planning, Incident Response Planning. Our CTO escalates cybersecurity incidents to other members of the Company’s leadership, as appropriate, including our Chief Financial Officer and Chief Legal Officer. The security team provides regular briefings to the audit committee regarding the Company’s cybersecurity risks and activities, including any recent cybersecurity incidents and related responses, cybersecurity systems testing, and activities of third parties.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43" w:lineRule="exact"/>
        <w:rPr>
          <w:sz w:val="20"/>
          <w:szCs w:val="20"/>
          <w:color w:val="auto"/>
        </w:rPr>
      </w:pPr>
    </w:p>
    <w:p>
      <w:pPr>
        <w:ind w:right="20" w:firstLine="324"/>
        <w:spacing w:after="0" w:line="297" w:lineRule="auto"/>
        <w:rPr>
          <w:sz w:val="20"/>
          <w:szCs w:val="20"/>
          <w:color w:val="auto"/>
        </w:rPr>
      </w:pPr>
      <w:r>
        <w:rPr>
          <w:rFonts w:ascii="Times New Roman" w:cs="Times New Roman" w:eastAsia="Times New Roman" w:hAnsi="Times New Roman"/>
          <w:sz w:val="18"/>
          <w:szCs w:val="18"/>
          <w:color w:val="auto"/>
        </w:rPr>
        <w:t>We have provided the financial statement information required by this Item 17 in, and pursuant to Item 18, such disclosure which is incorporated by reference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the financial statements filed as part of this Annual Report beginning on page F-1.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2"/>
                <w:szCs w:val="22"/>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40" w:type="dxa"/>
            <w:vAlign w:val="bottom"/>
            <w:tcBorders>
              <w:top w:val="single" w:sz="8" w:color="auto"/>
            </w:tcBorders>
          </w:tcPr>
          <w:p>
            <w:pPr>
              <w:spacing w:after="0" w:line="176" w:lineRule="exact"/>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hyperlink>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top w:val="single" w:sz="8" w:color="auto"/>
            </w:tcBorders>
            <w:gridSpan w:val="29"/>
          </w:tcPr>
          <w:p>
            <w:pPr>
              <w:spacing w:after="0" w:line="17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Amended and Restated Articles of Association of the Registrant (incorporated by reference to Exhibit 1.1 to the Registrant's Annual Report</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on Form 20-F for the year ended December 31, 2024 (File No. 001-40504), filed with the SEC on March 5, 2025).</w:t>
              </w:r>
            </w:hyperlink>
          </w:p>
        </w:tc>
        <w:tc>
          <w:tcPr>
            <w:tcW w:w="1840" w:type="dxa"/>
            <w:vAlign w:val="bottom"/>
            <w:gridSpan w:val="16"/>
          </w:tcPr>
          <w:p>
            <w:pPr>
              <w:spacing w:after="0"/>
              <w:rPr>
                <w:sz w:val="17"/>
                <w:szCs w:val="17"/>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Description of the Registrant’s Securities Registered Pursuant to Section 12 of the Securities Exchange Act of 1934 as of February 18, 2025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(incorporated herein by reference the Registrant’s Registration Statement on Form 8-A/A (File No. 001-40504), filed with the SEC on</w:t>
              </w:r>
            </w:hyperlink>
          </w:p>
        </w:tc>
      </w:tr>
      <w:tr>
        <w:trPr>
          <w:trHeight w:val="209"/>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February 18, 2025).</w:t>
              </w:r>
            </w:hyperlink>
          </w:p>
        </w:tc>
        <w:tc>
          <w:tcPr>
            <w:tcW w:w="440" w:type="dxa"/>
            <w:vAlign w:val="bottom"/>
            <w:gridSpan w:val="8"/>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EE"/>
                <w:w w:val="97"/>
              </w:rPr>
            </w:pPr>
            <w:hyperlink r:id="rId12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Indemnification Agreement (incorporated herein by reference to Exhibit 10.1 to the Registrant’s Registration Statement on Form</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F-1 (File No. 333-256452), filed with the SEC on May 25, 2021).</w:t>
              </w:r>
            </w:hyperlink>
          </w:p>
        </w:tc>
        <w:tc>
          <w:tcPr>
            <w:tcW w:w="5360" w:type="dxa"/>
            <w:vAlign w:val="bottom"/>
            <w:gridSpan w:val="21"/>
          </w:tcPr>
          <w:p>
            <w:pPr>
              <w:spacing w:after="0"/>
              <w:rPr>
                <w:sz w:val="17"/>
                <w:szCs w:val="17"/>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Nexxen International Ltd. Global Share Incentive Plan (2011), as amended (incorporated herein by reference to Exhibit 4.2 to the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0"/>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Registrant's Annual Report on Form 20-F for the year ended December 31, 2024 (File No. 001-40504), filed with the SEC on March 5,</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3"/>
          </w:tcPr>
          <w:p>
            <w:pPr>
              <w:ind w:left="140"/>
              <w:spacing w:after="0"/>
              <w:rPr>
                <w:rFonts w:ascii="Times New Roman" w:cs="Times New Roman" w:eastAsia="Times New Roman" w:hAnsi="Times New Roman"/>
                <w:sz w:val="18"/>
                <w:szCs w:val="18"/>
                <w:color w:val="0000EE"/>
                <w:w w:val="94"/>
              </w:rPr>
            </w:pPr>
            <w:hyperlink r:id="rId127">
              <w:r>
                <w:rPr>
                  <w:rFonts w:ascii="Times New Roman" w:cs="Times New Roman" w:eastAsia="Times New Roman" w:hAnsi="Times New Roman"/>
                  <w:sz w:val="18"/>
                  <w:szCs w:val="18"/>
                  <w:color w:val="0000EE"/>
                  <w:w w:val="94"/>
                </w:rPr>
                <w:t>2025).</w:t>
              </w:r>
            </w:hyperlink>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EE"/>
                <w:w w:val="97"/>
              </w:rPr>
            </w:pPr>
            <w:hyperlink r:id="rId12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Nexxen International Ltd. 2017 Equity Incentive Plan, as amended (incorporated herein by reference to Exhibit 4.3 to the Registrant's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0"/>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Annual Report on Form 20-F for the year ended December 31, 2024 (File No. 001-40504), filed with the SEC on March 5, 2025).</w:t>
              </w:r>
            </w:hyperlink>
          </w:p>
        </w:tc>
      </w:tr>
      <w:tr>
        <w:trPr>
          <w:trHeight w:val="21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Amendment No. 6 to Nexxen International Ltd. 2017 Equity Incentive Plan, dated January 6, 2026.</w:t>
            </w:r>
          </w:p>
        </w:tc>
        <w:tc>
          <w:tcPr>
            <w:tcW w:w="740" w:type="dxa"/>
            <w:vAlign w:val="bottom"/>
            <w:gridSpan w:val="13"/>
          </w:tcPr>
          <w:p>
            <w:pPr>
              <w:spacing w:after="0"/>
              <w:rPr>
                <w:sz w:val="18"/>
                <w:szCs w:val="18"/>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0"/>
        </w:trPr>
        <w:tc>
          <w:tcPr>
            <w:tcW w:w="240" w:type="dxa"/>
            <w:vAlign w:val="bottom"/>
          </w:tcPr>
          <w:p>
            <w:pPr>
              <w:spacing w:after="0"/>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Remuneration Policy for Directors and Executives (incorporated by reference to Exhibit 4.4 to the Registrant's Annual Report on Form 20-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 for the year ended December 31, 2024 (File No. 001-40504), filed with the SEC on March 5, 2025).</w:t>
              </w:r>
            </w:hyperlink>
          </w:p>
        </w:tc>
        <w:tc>
          <w:tcPr>
            <w:tcW w:w="2740" w:type="dxa"/>
            <w:vAlign w:val="bottom"/>
            <w:gridSpan w:val="18"/>
          </w:tcPr>
          <w:p>
            <w:pPr>
              <w:spacing w:after="0"/>
              <w:rPr>
                <w:sz w:val="17"/>
                <w:szCs w:val="17"/>
                <w:color w:val="auto"/>
              </w:rPr>
            </w:pPr>
          </w:p>
        </w:tc>
      </w:tr>
      <w:tr>
        <w:trPr>
          <w:trHeight w:val="210"/>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130">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6*</w:t>
              </w:r>
            </w:hyperlink>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Credit Agreement, dated as of September 12, 2022, by and among Nexxen Group US Holdings Inc. (f/k/a Unruly Group US Holding Inc.),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Nexxen Holdings Ltd (f/k/a Unruly Holdings Limited), Nexxen International Ltd., Royal Bank of Canada, and other Lenders and L/C</w:t>
              </w:r>
            </w:hyperlink>
          </w:p>
        </w:tc>
        <w:tc>
          <w:tcPr>
            <w:tcW w:w="460" w:type="dxa"/>
            <w:vAlign w:val="bottom"/>
            <w:gridSpan w:val="9"/>
          </w:tcPr>
          <w:p>
            <w:pPr>
              <w:spacing w:after="0"/>
              <w:rPr>
                <w:sz w:val="17"/>
                <w:szCs w:val="17"/>
                <w:color w:val="auto"/>
              </w:rPr>
            </w:pPr>
          </w:p>
        </w:tc>
      </w:tr>
      <w:tr>
        <w:trPr>
          <w:trHeight w:val="210"/>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Issuers party thereto (incorporated herein by reference to Exhibit 4.6 to the Registrant’s Annual Report on Form 20-F for the year ended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December 31, 2022 (File No. 001-40504), filed with the SEC on March 7, 2023).</w:t>
              </w:r>
            </w:hyperlink>
          </w:p>
        </w:tc>
        <w:tc>
          <w:tcPr>
            <w:tcW w:w="300" w:type="dxa"/>
            <w:vAlign w:val="bottom"/>
            <w:gridSpan w:val="6"/>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7*</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First Amendment to Credit Agreement, dated as of April 9, 2024, by and among Nexxen Group US Holdings Inc. (f/k/a Unruly Group US</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Inc.), Nexxen Holdings Ltd. (f/k/a Unruly Holdings Limited), Nexxen International Ltd., Royal Bank of Canada and other</w:t>
            </w:r>
          </w:p>
        </w:tc>
        <w:tc>
          <w:tcPr>
            <w:tcW w:w="580" w:type="dxa"/>
            <w:vAlign w:val="bottom"/>
            <w:gridSpan w:val="11"/>
          </w:tcPr>
          <w:p>
            <w:pPr>
              <w:spacing w:after="0"/>
              <w:rPr>
                <w:sz w:val="17"/>
                <w:szCs w:val="17"/>
                <w:color w:val="auto"/>
              </w:rPr>
            </w:pPr>
          </w:p>
        </w:tc>
      </w:tr>
      <w:tr>
        <w:trPr>
          <w:trHeight w:val="210"/>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Lenders and L/C Issuers party thereto.</w:t>
            </w:r>
          </w:p>
        </w:tc>
        <w:tc>
          <w:tcPr>
            <w:tcW w:w="7300" w:type="dxa"/>
            <w:vAlign w:val="bottom"/>
            <w:gridSpan w:val="22"/>
          </w:tcPr>
          <w:p>
            <w:pPr>
              <w:spacing w:after="0"/>
              <w:rPr>
                <w:sz w:val="18"/>
                <w:szCs w:val="18"/>
                <w:color w:val="auto"/>
              </w:rPr>
            </w:pPr>
          </w:p>
        </w:tc>
      </w:tr>
      <w:tr>
        <w:trPr>
          <w:trHeight w:val="209"/>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Second Amendment to Credit Agreement, dated as of May 29, 2025, by and among Nexxen Group US Holdings Inc. (f/k/a Unruly Group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60" w:type="dxa"/>
            <w:vAlign w:val="bottom"/>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US Holding Inc.), Nexxen Holdings Ltd (f/k/a Unruly Holdings Limited), Nexxen International Ltd., Royal Bank of Canada and other</w:t>
            </w:r>
          </w:p>
        </w:tc>
        <w:tc>
          <w:tcPr>
            <w:tcW w:w="360" w:type="dxa"/>
            <w:vAlign w:val="bottom"/>
            <w:gridSpan w:val="7"/>
          </w:tcPr>
          <w:p>
            <w:pPr>
              <w:spacing w:after="0"/>
              <w:rPr>
                <w:sz w:val="17"/>
                <w:szCs w:val="17"/>
                <w:color w:val="auto"/>
              </w:rPr>
            </w:pPr>
          </w:p>
        </w:tc>
      </w:tr>
      <w:tr>
        <w:trPr>
          <w:trHeight w:val="209"/>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Lenders and L/C Issuers party thereto.</w:t>
            </w:r>
          </w:p>
        </w:tc>
        <w:tc>
          <w:tcPr>
            <w:tcW w:w="7320" w:type="dxa"/>
            <w:vAlign w:val="bottom"/>
            <w:gridSpan w:val="23"/>
          </w:tcPr>
          <w:p>
            <w:pPr>
              <w:spacing w:after="0"/>
              <w:rPr>
                <w:sz w:val="18"/>
                <w:szCs w:val="18"/>
                <w:color w:val="auto"/>
              </w:rPr>
            </w:pPr>
          </w:p>
        </w:tc>
      </w:tr>
      <w:tr>
        <w:trPr>
          <w:trHeight w:val="21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List of Subsidiaries of the Registrant.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11.</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Insider Trading Policy.</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12.</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Certificate of Chief Executive Officer pursuant to Securities Exchange Act Rules 13a-14(a) and 15d-14(a) as adopted pursuant to §302 of</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60" w:type="dxa"/>
            <w:vAlign w:val="bottom"/>
            <w:gridSpan w:val="8"/>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7720" w:type="dxa"/>
            <w:vAlign w:val="bottom"/>
            <w:gridSpan w:val="25"/>
          </w:tcPr>
          <w:p>
            <w:pPr>
              <w:spacing w:after="0"/>
              <w:rPr>
                <w:sz w:val="17"/>
                <w:szCs w:val="17"/>
                <w:color w:val="auto"/>
              </w:rPr>
            </w:pPr>
          </w:p>
        </w:tc>
      </w:tr>
      <w:tr>
        <w:trPr>
          <w:trHeight w:val="2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12.</w:t>
            </w:r>
            <w:r>
              <w:rPr>
                <w:rFonts w:ascii="Times New Roman" w:cs="Times New Roman" w:eastAsia="Times New Roman" w:hAnsi="Times New Roman"/>
                <w:sz w:val="18"/>
                <w:szCs w:val="18"/>
                <w:u w:val="single" w:color="auto"/>
                <w:color w:val="0000EE"/>
                <w:w w:val="95"/>
              </w:rPr>
              <w:t>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Certificate of Chief Financial Officer pursuant to Securities Exchange Act Rules 13a-14(a) and 15d-14(a) as adopted pursuant to §302 of</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6600" w:type="dxa"/>
            <w:vAlign w:val="bottom"/>
            <w:gridSpan w:val="10"/>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Sarbanes-Oxley Act of 2002.</w:t>
            </w:r>
          </w:p>
        </w:tc>
        <w:tc>
          <w:tcPr>
            <w:tcW w:w="7720" w:type="dxa"/>
            <w:vAlign w:val="bottom"/>
            <w:gridSpan w:val="25"/>
          </w:tcPr>
          <w:p>
            <w:pPr>
              <w:spacing w:after="0"/>
              <w:rPr>
                <w:sz w:val="17"/>
                <w:szCs w:val="17"/>
                <w:color w:val="auto"/>
              </w:rPr>
            </w:pPr>
          </w:p>
        </w:tc>
      </w:tr>
      <w:tr>
        <w:trPr>
          <w:trHeight w:val="2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13.</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Certificate of Chief Executive Officer pursuant to 18 U.S.C. §1350, as adopted pursuant to §906 of the Sarbanes-Oxley Act of 2002,</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6600" w:type="dxa"/>
            <w:vAlign w:val="bottom"/>
            <w:gridSpan w:val="10"/>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furnished herewith.</w:t>
            </w:r>
          </w:p>
        </w:tc>
        <w:tc>
          <w:tcPr>
            <w:tcW w:w="8660" w:type="dxa"/>
            <w:vAlign w:val="bottom"/>
            <w:gridSpan w:val="27"/>
          </w:tcPr>
          <w:p>
            <w:pPr>
              <w:spacing w:after="0"/>
              <w:rPr>
                <w:sz w:val="17"/>
                <w:szCs w:val="17"/>
                <w:color w:val="auto"/>
              </w:rPr>
            </w:pPr>
          </w:p>
        </w:tc>
      </w:tr>
      <w:tr>
        <w:trPr>
          <w:trHeight w:val="2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13.</w:t>
            </w:r>
            <w:r>
              <w:rPr>
                <w:rFonts w:ascii="Times New Roman" w:cs="Times New Roman" w:eastAsia="Times New Roman" w:hAnsi="Times New Roman"/>
                <w:sz w:val="18"/>
                <w:szCs w:val="18"/>
                <w:u w:val="single" w:color="auto"/>
                <w:color w:val="0000EE"/>
                <w:w w:val="95"/>
              </w:rPr>
              <w:t>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Certificate of Chief Financial Officer pursuant to 18 U.S.C. §1350, as adopted pursuant to §906 of the Sarbanes-Oxley Act of 2002,</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EE"/>
          </w:tcPr>
          <w:p>
            <w:pPr>
              <w:spacing w:after="0" w:line="20" w:lineRule="exact"/>
              <w:rPr>
                <w:sz w:val="1"/>
                <w:szCs w:val="1"/>
                <w:color w:val="auto"/>
              </w:rPr>
            </w:pPr>
          </w:p>
        </w:tc>
        <w:tc>
          <w:tcPr>
            <w:tcW w:w="6600" w:type="dxa"/>
            <w:vAlign w:val="bottom"/>
            <w:gridSpan w:val="10"/>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furnished herewith.</w:t>
            </w:r>
          </w:p>
        </w:tc>
        <w:tc>
          <w:tcPr>
            <w:tcW w:w="8660" w:type="dxa"/>
            <w:vAlign w:val="bottom"/>
            <w:gridSpan w:val="27"/>
          </w:tcPr>
          <w:p>
            <w:pPr>
              <w:spacing w:after="0"/>
              <w:rPr>
                <w:sz w:val="17"/>
                <w:szCs w:val="17"/>
                <w:color w:val="auto"/>
              </w:rPr>
            </w:pPr>
          </w:p>
        </w:tc>
      </w:tr>
      <w:tr>
        <w:trPr>
          <w:trHeight w:val="209"/>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15.</w:t>
            </w:r>
            <w:r>
              <w:rPr>
                <w:rFonts w:ascii="Times New Roman" w:cs="Times New Roman" w:eastAsia="Times New Roman" w:hAnsi="Times New Roman"/>
                <w:sz w:val="18"/>
                <w:szCs w:val="18"/>
                <w:u w:val="single" w:color="auto"/>
                <w:color w:val="0000EE"/>
                <w:w w:val="95"/>
              </w:rPr>
              <w:t>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Consent of Somekh Chaikin, a member firm of KPMG International, an independent registered public accounting firm.</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0" w:type="dxa"/>
            <w:vAlign w:val="bottom"/>
            <w:gridSpan w:val="1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10"/>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131">
              <w:r>
                <w:rPr>
                  <w:rFonts w:ascii="Times New Roman" w:cs="Times New Roman" w:eastAsia="Times New Roman" w:hAnsi="Times New Roman"/>
                  <w:sz w:val="18"/>
                  <w:szCs w:val="18"/>
                  <w:color w:val="0000EE"/>
                  <w:w w:val="95"/>
                </w:rPr>
                <w:t>97.</w:t>
              </w:r>
              <w:r>
                <w:rPr>
                  <w:rFonts w:ascii="Times New Roman" w:cs="Times New Roman" w:eastAsia="Times New Roman" w:hAnsi="Times New Roman"/>
                  <w:sz w:val="18"/>
                  <w:szCs w:val="18"/>
                  <w:u w:val="single" w:color="auto"/>
                  <w:color w:val="0000EE"/>
                  <w:w w:val="95"/>
                </w:rPr>
                <w:t>1</w:t>
              </w:r>
            </w:hyperlink>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3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Incentive-Based Compensation Recoupment Policy (incorporated herein by reference to Exhibit 97.1 to the Registrant’s Annual Report on</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0" w:type="dxa"/>
            <w:vAlign w:val="bottom"/>
            <w:gridSpan w:val="12"/>
            <w:shd w:val="clear" w:color="auto" w:fill="0000EE"/>
          </w:tcPr>
          <w:p>
            <w:pPr>
              <w:spacing w:after="0" w:line="20" w:lineRule="exact"/>
              <w:rPr>
                <w:sz w:val="1"/>
                <w:szCs w:val="1"/>
                <w:color w:val="auto"/>
              </w:rPr>
            </w:pPr>
          </w:p>
        </w:tc>
        <w:tc>
          <w:tcPr>
            <w:tcW w:w="1940" w:type="dxa"/>
            <w:vAlign w:val="bottom"/>
            <w:gridSpan w:val="1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20-F for the year ended December 31, 2023 (File No. 001-40504), filed with the SEC on March 6, 2024).</w:t>
              </w:r>
            </w:hyperlink>
          </w:p>
        </w:tc>
        <w:tc>
          <w:tcPr>
            <w:tcW w:w="2060" w:type="dxa"/>
            <w:vAlign w:val="bottom"/>
            <w:gridSpan w:val="17"/>
          </w:tcPr>
          <w:p>
            <w:pPr>
              <w:spacing w:after="0"/>
              <w:rPr>
                <w:sz w:val="17"/>
                <w:szCs w:val="17"/>
                <w:color w:val="auto"/>
              </w:rPr>
            </w:pPr>
          </w:p>
        </w:tc>
      </w:tr>
      <w:tr>
        <w:trPr>
          <w:trHeight w:val="23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30"/>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19"/>
                <w:szCs w:val="19"/>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8"/>
        <w:spacing w:after="0" w:line="282" w:lineRule="auto"/>
        <w:tabs>
          <w:tab w:leader="none" w:pos="7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Instructions as to Exhibits to Form 20-F. A copy of any omitted schedule and/or exhibit will be furnished to the SEC upon request.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91"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NEXXEN INTERNATIONAL LTD.</w:t>
      </w:r>
    </w:p>
    <w:p>
      <w:pPr>
        <w:spacing w:after="0" w:line="23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Ofer Druker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Ofer Druker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Sagi Niri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ind w:left="310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AND ITS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6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r>
      <w:tr>
        <w:trPr>
          <w:trHeight w:val="466"/>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92"/>
        </w:trPr>
        <w:tc>
          <w:tcPr>
            <w:tcW w:w="102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EE"/>
              </w:rPr>
              <w:t xml:space="preserve">REPORT OF INDEPENDENT REGISTERED PUBLIC ACCOUTING FIRM </w:t>
            </w:r>
            <w:r>
              <w:rPr>
                <w:rFonts w:ascii="Times New Roman" w:cs="Times New Roman" w:eastAsia="Times New Roman" w:hAnsi="Times New Roman"/>
                <w:sz w:val="18"/>
                <w:szCs w:val="18"/>
                <w:b w:val="1"/>
                <w:bCs w:val="1"/>
                <w:color w:val="000000"/>
              </w:rPr>
              <w:t>(PCAOB 1057)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 - 3</w:t>
            </w:r>
          </w:p>
        </w:tc>
      </w:tr>
      <w:tr>
        <w:trPr>
          <w:trHeight w:val="250"/>
        </w:trPr>
        <w:tc>
          <w:tcPr>
            <w:tcW w:w="60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4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05"/>
        </w:trPr>
        <w:tc>
          <w:tcPr>
            <w:tcW w:w="260" w:type="dxa"/>
            <w:vAlign w:val="bottom"/>
          </w:tcPr>
          <w:p>
            <w:pPr>
              <w:spacing w:after="0"/>
              <w:rPr>
                <w:sz w:val="24"/>
                <w:szCs w:val="24"/>
                <w:color w:val="auto"/>
              </w:rPr>
            </w:pPr>
          </w:p>
        </w:tc>
        <w:tc>
          <w:tcPr>
            <w:tcW w:w="3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Financial Position</w:t>
            </w:r>
          </w:p>
        </w:tc>
        <w:tc>
          <w:tcPr>
            <w:tcW w:w="668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 - 4</w:t>
            </w:r>
          </w:p>
        </w:tc>
      </w:tr>
      <w:tr>
        <w:trPr>
          <w:trHeight w:val="426"/>
        </w:trPr>
        <w:tc>
          <w:tcPr>
            <w:tcW w:w="260" w:type="dxa"/>
            <w:vAlign w:val="bottom"/>
          </w:tcPr>
          <w:p>
            <w:pPr>
              <w:spacing w:after="0"/>
              <w:rPr>
                <w:sz w:val="24"/>
                <w:szCs w:val="24"/>
                <w:color w:val="auto"/>
              </w:rPr>
            </w:pPr>
          </w:p>
        </w:tc>
        <w:tc>
          <w:tcPr>
            <w:tcW w:w="57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 and Other Comprehensive income (loss)</w:t>
            </w:r>
          </w:p>
        </w:tc>
        <w:tc>
          <w:tcPr>
            <w:tcW w:w="4320" w:type="dxa"/>
            <w:vAlign w:val="bottom"/>
            <w:gridSpan w:val="2"/>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 - 5</w:t>
            </w:r>
          </w:p>
        </w:tc>
      </w:tr>
      <w:tr>
        <w:trPr>
          <w:trHeight w:val="426"/>
        </w:trPr>
        <w:tc>
          <w:tcPr>
            <w:tcW w:w="260" w:type="dxa"/>
            <w:vAlign w:val="bottom"/>
          </w:tcPr>
          <w:p>
            <w:pPr>
              <w:spacing w:after="0"/>
              <w:rPr>
                <w:sz w:val="24"/>
                <w:szCs w:val="24"/>
                <w:color w:val="auto"/>
              </w:rPr>
            </w:pPr>
          </w:p>
        </w:tc>
        <w:tc>
          <w:tcPr>
            <w:tcW w:w="3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Equity</w:t>
            </w:r>
          </w:p>
        </w:tc>
        <w:tc>
          <w:tcPr>
            <w:tcW w:w="6660" w:type="dxa"/>
            <w:vAlign w:val="bottom"/>
            <w:gridSpan w:val="3"/>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 - 6 - F - 7</w:t>
            </w:r>
          </w:p>
        </w:tc>
      </w:tr>
      <w:tr>
        <w:trPr>
          <w:trHeight w:val="42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120" w:type="dxa"/>
            <w:vAlign w:val="bottom"/>
            <w:gridSpan w:val="6"/>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 - 8</w:t>
            </w:r>
          </w:p>
        </w:tc>
      </w:tr>
      <w:tr>
        <w:trPr>
          <w:trHeight w:val="426"/>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 - 9 - F - 42</w:t>
            </w:r>
          </w:p>
        </w:tc>
      </w:tr>
      <w:tr>
        <w:trPr>
          <w:trHeight w:val="655"/>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60" w:type="dxa"/>
            <w:vAlign w:val="bottom"/>
            <w:gridSpan w:val="3"/>
          </w:tcPr>
          <w:p>
            <w:pPr>
              <w:jc w:val="center"/>
              <w:ind w:right="2640"/>
              <w:spacing w:after="0"/>
              <w:rPr>
                <w:sz w:val="20"/>
                <w:szCs w:val="20"/>
                <w:color w:val="auto"/>
              </w:rPr>
            </w:pPr>
            <w:r>
              <w:rPr>
                <w:rFonts w:ascii="Times New Roman" w:cs="Times New Roman" w:eastAsia="Times New Roman" w:hAnsi="Times New Roman"/>
                <w:sz w:val="18"/>
                <w:szCs w:val="18"/>
                <w:color w:val="auto"/>
                <w:w w:val="99"/>
              </w:rPr>
              <w:t>F - 2</w:t>
            </w:r>
          </w:p>
        </w:tc>
        <w:tc>
          <w:tcPr>
            <w:tcW w:w="960" w:type="dxa"/>
            <w:vAlign w:val="bottom"/>
          </w:tcPr>
          <w:p>
            <w:pPr>
              <w:spacing w:after="0"/>
              <w:rPr>
                <w:sz w:val="24"/>
                <w:szCs w:val="24"/>
                <w:color w:val="auto"/>
              </w:rPr>
            </w:pPr>
          </w:p>
        </w:tc>
      </w:tr>
      <w:tr>
        <w:trPr>
          <w:trHeight w:val="61"/>
        </w:trPr>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925830" cy="4540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925830" cy="45402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Ha’arba’a Street, PO Box 609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Millennium Tower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6100601, Israel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+972 3 684 8000</w:t>
      </w:r>
    </w:p>
    <w:p>
      <w:pPr>
        <w:spacing w:after="0" w:line="23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Nexxen International Ltd.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Consolidated Financial Statements</w:t>
      </w:r>
    </w:p>
    <w:p>
      <w:pPr>
        <w:spacing w:after="0" w:line="23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Nexxen International Ltd. (and subsidiaries) (the Company) as of December 31, 2025 and 2024, and the related consolidated statements of operation and other comprehensive income (loss), changes in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2025, in conformity with IFRS Accounting Standards as issued by the International Accounting Standards Board (IFRS Accounting Standards).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Firm of KPMG International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34" w:lineRule="exact"/>
        <w:rPr>
          <w:sz w:val="20"/>
          <w:szCs w:val="20"/>
          <w:color w:val="auto"/>
        </w:rPr>
      </w:pPr>
    </w:p>
    <w:p>
      <w:pPr>
        <w:jc w:val="center"/>
        <w:ind w:right="1020"/>
        <w:spacing w:after="0" w:line="282" w:lineRule="auto"/>
        <w:rPr>
          <w:sz w:val="20"/>
          <w:szCs w:val="20"/>
          <w:color w:val="auto"/>
        </w:rPr>
      </w:pPr>
      <w:r>
        <w:rPr>
          <w:rFonts w:ascii="Times New Roman" w:cs="Times New Roman" w:eastAsia="Times New Roman" w:hAnsi="Times New Roman"/>
          <w:sz w:val="18"/>
          <w:szCs w:val="18"/>
          <w:color w:val="auto"/>
        </w:rPr>
        <w:t>KPMG Somekh Chaikin, an Israeli partnership and a member firm of the KPMG global organization of independent member firms affiliated with KPMG International Limited, a private English company limited by guarantee.</w:t>
      </w:r>
    </w:p>
    <w:p>
      <w:pPr>
        <w:spacing w:after="0" w:line="36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30"/>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232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tcPr>
          <w:p>
            <w:pPr>
              <w:spacing w:after="0"/>
              <w:rPr>
                <w:sz w:val="19"/>
                <w:szCs w:val="19"/>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187,068</w:t>
            </w:r>
          </w:p>
        </w:tc>
      </w:tr>
      <w:tr>
        <w:trPr>
          <w:trHeight w:val="229"/>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217,960</w:t>
            </w:r>
          </w:p>
        </w:tc>
      </w:tr>
      <w:tr>
        <w:trPr>
          <w:trHeight w:val="230"/>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2320" w:type="dxa"/>
            <w:vAlign w:val="bottom"/>
          </w:tcPr>
          <w:p>
            <w:pPr>
              <w:spacing w:after="0"/>
              <w:rPr>
                <w:sz w:val="19"/>
                <w:szCs w:val="19"/>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r>
      <w:tr>
        <w:trPr>
          <w:trHeight w:val="237"/>
        </w:trPr>
        <w:tc>
          <w:tcPr>
            <w:tcW w:w="500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2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7"/>
        </w:trPr>
        <w:tc>
          <w:tcPr>
            <w:tcW w:w="5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337,334</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412,980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2320" w:type="dxa"/>
            <w:vAlign w:val="bottom"/>
          </w:tcPr>
          <w:p>
            <w:pPr>
              <w:spacing w:after="0"/>
              <w:rPr>
                <w:sz w:val="19"/>
                <w:szCs w:val="19"/>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27,005</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336,768</w:t>
            </w:r>
          </w:p>
        </w:tc>
      </w:tr>
      <w:tr>
        <w:trPr>
          <w:trHeight w:val="229"/>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2320" w:type="dxa"/>
            <w:vAlign w:val="bottom"/>
          </w:tcPr>
          <w:p>
            <w:pPr>
              <w:spacing w:after="0"/>
              <w:rPr>
                <w:sz w:val="19"/>
                <w:szCs w:val="19"/>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17,800</w:t>
            </w:r>
          </w:p>
        </w:tc>
      </w:tr>
      <w:tr>
        <w:trPr>
          <w:trHeight w:val="230"/>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6"/>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418,739</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427,533</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20"/>
        </w:trPr>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14,340</w:t>
            </w:r>
          </w:p>
        </w:tc>
      </w:tr>
      <w:tr>
        <w:trPr>
          <w:trHeight w:val="230"/>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2320" w:type="dxa"/>
            <w:vAlign w:val="bottom"/>
          </w:tcPr>
          <w:p>
            <w:pPr>
              <w:spacing w:after="0"/>
              <w:rPr>
                <w:sz w:val="19"/>
                <w:szCs w:val="19"/>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228,514</w:t>
            </w:r>
          </w:p>
        </w:tc>
      </w:tr>
      <w:tr>
        <w:trPr>
          <w:trHeight w:val="230"/>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38,526</w:t>
            </w:r>
          </w:p>
        </w:tc>
      </w:tr>
      <w:tr>
        <w:trPr>
          <w:trHeight w:val="236"/>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262,030</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286,057</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r>
      <w:tr>
        <w:trPr>
          <w:trHeight w:val="237"/>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20" w:type="dxa"/>
            <w:vAlign w:val="bottom"/>
          </w:tcPr>
          <w:p>
            <w:pPr>
              <w:spacing w:after="0"/>
              <w:rPr>
                <w:sz w:val="20"/>
                <w:szCs w:val="20"/>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281,402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309,659</w:t>
            </w: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20" w:type="dxa"/>
            <w:vAlign w:val="bottom"/>
          </w:tcPr>
          <w:p>
            <w:pPr>
              <w:spacing w:after="0"/>
              <w:rPr>
                <w:sz w:val="19"/>
                <w:szCs w:val="19"/>
                <w:color w:val="auto"/>
              </w:rPr>
            </w:pPr>
          </w:p>
        </w:tc>
        <w:tc>
          <w:tcPr>
            <w:tcW w:w="11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2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r>
      <w:tr>
        <w:trPr>
          <w:trHeight w:val="230"/>
        </w:trPr>
        <w:tc>
          <w:tcPr>
            <w:tcW w:w="50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comprehensive income (loss)</w:t>
            </w:r>
          </w:p>
        </w:tc>
        <w:tc>
          <w:tcPr>
            <w:tcW w:w="2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r>
        <w:trPr>
          <w:trHeight w:val="237"/>
        </w:trPr>
        <w:tc>
          <w:tcPr>
            <w:tcW w:w="5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195,489</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170,446</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474,671</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530,854</w:t>
            </w:r>
          </w:p>
        </w:tc>
        <w:tc>
          <w:tcPr>
            <w:tcW w:w="100" w:type="dxa"/>
            <w:vAlign w:val="bottom"/>
          </w:tcPr>
          <w:p>
            <w:pPr>
              <w:spacing w:after="0"/>
              <w:rPr>
                <w:sz w:val="20"/>
                <w:szCs w:val="20"/>
                <w:color w:val="auto"/>
              </w:rPr>
            </w:pPr>
          </w:p>
        </w:tc>
      </w:tr>
      <w:tr>
        <w:trPr>
          <w:trHeight w:val="216"/>
        </w:trPr>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756,073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840,513</w:t>
            </w:r>
          </w:p>
        </w:tc>
        <w:tc>
          <w:tcPr>
            <w:tcW w:w="10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38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5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tc>
        <w:tc>
          <w:tcPr>
            <w:tcW w:w="3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CEO</w:t>
            </w:r>
          </w:p>
        </w:tc>
        <w:tc>
          <w:tcPr>
            <w:tcW w:w="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CFO</w:t>
            </w: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437"/>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approval of the financial statements: March 4, 2026.</w:t>
            </w: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 AND OTHER COMPREHENSIVE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6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364,780</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365,477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331,993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w:t>
            </w:r>
          </w:p>
        </w:tc>
        <w:tc>
          <w:tcPr>
            <w:tcW w:w="1120" w:type="dxa"/>
            <w:vAlign w:val="bottom"/>
            <w:vMerge w:val="restart"/>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120" w:type="dxa"/>
            <w:vAlign w:val="bottom"/>
            <w:shd w:val="clear" w:color="auto" w:fill="CCEEFF"/>
          </w:tcPr>
          <w:p>
            <w:pPr>
              <w:spacing w:after="0"/>
              <w:rPr>
                <w:sz w:val="18"/>
                <w:szCs w:val="18"/>
                <w:color w:val="auto"/>
              </w:rPr>
            </w:pPr>
          </w:p>
        </w:tc>
        <w:tc>
          <w:tcPr>
            <w:tcW w:w="1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61,020</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62,270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w:t>
            </w:r>
          </w:p>
        </w:tc>
        <w:tc>
          <w:tcPr>
            <w:tcW w:w="11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3"/>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58,059</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122,975</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105,914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51,051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63,124</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58,676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78,285</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263,636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286,699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40,821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(16,976)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(7,010)</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(8,192)</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expenses (income), net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(4,810)</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38,532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for the year</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for subsidiary sold reclassified to profit and loss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year</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2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(in USD)</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(in USD)</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20"/>
                <w:szCs w:val="20"/>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4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Share premium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Retained Earnings</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32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6"/>
              </w:rPr>
              <w:t>USD thousands</w:t>
            </w:r>
          </w:p>
        </w:tc>
        <w:tc>
          <w:tcPr>
            <w:tcW w:w="220" w:type="dxa"/>
            <w:vAlign w:val="bottom"/>
            <w:tcBorders>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400,507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(5,801)</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156,496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551,615</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for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r>
      <w:tr>
        <w:trPr>
          <w:trHeight w:val="237"/>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for subsidiary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4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(21,487)</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(18,127)</w:t>
            </w:r>
          </w:p>
        </w:tc>
      </w:tr>
      <w:tr>
        <w:trPr>
          <w:trHeight w:val="216"/>
        </w:trPr>
        <w:tc>
          <w:tcPr>
            <w:tcW w:w="4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(9,314)</w:t>
            </w:r>
          </w:p>
        </w:tc>
      </w:tr>
      <w:tr>
        <w:trPr>
          <w:trHeight w:val="229"/>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19,141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19,141</w:t>
            </w:r>
          </w:p>
        </w:tc>
      </w:tr>
      <w:tr>
        <w:trPr>
          <w:trHeight w:val="237"/>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3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410,563</w:t>
            </w: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135,009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543,548</w:t>
            </w:r>
          </w:p>
        </w:tc>
      </w:tr>
      <w:tr>
        <w:trPr>
          <w:trHeight w:val="417"/>
        </w:trPr>
        <w:tc>
          <w:tcPr>
            <w:tcW w:w="43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29"/>
        </w:trPr>
        <w:tc>
          <w:tcPr>
            <w:tcW w:w="4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4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Share premium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Retained Earnings</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32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6"/>
              </w:rPr>
              <w:t>USD thousands</w:t>
            </w:r>
          </w:p>
        </w:tc>
        <w:tc>
          <w:tcPr>
            <w:tcW w:w="220" w:type="dxa"/>
            <w:vAlign w:val="bottom"/>
            <w:tcBorders>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410,563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(2,441)</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135,009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543,548</w:t>
            </w: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35,437</w:t>
            </w: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3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35,402</w:t>
            </w:r>
          </w:p>
        </w:tc>
      </w:tr>
      <w:tr>
        <w:trPr>
          <w:trHeight w:val="216"/>
        </w:trPr>
        <w:tc>
          <w:tcPr>
            <w:tcW w:w="43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Transactions with owners, recognized directly in</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(61,739)</w:t>
            </w:r>
          </w:p>
        </w:tc>
      </w:tr>
      <w:tr>
        <w:trPr>
          <w:trHeight w:val="230"/>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12,510</w:t>
            </w:r>
          </w:p>
        </w:tc>
      </w:tr>
      <w:tr>
        <w:trPr>
          <w:trHeight w:val="236"/>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4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362,507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170,446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530,854</w:t>
            </w:r>
          </w:p>
        </w:tc>
      </w:tr>
      <w:tr>
        <w:trPr>
          <w:trHeight w:val="20"/>
        </w:trPr>
        <w:tc>
          <w:tcPr>
            <w:tcW w:w="4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4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Share premium</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32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6"/>
              </w:rPr>
              <w:t>USD thousands</w:t>
            </w:r>
          </w:p>
        </w:tc>
        <w:tc>
          <w:tcPr>
            <w:tcW w:w="220" w:type="dxa"/>
            <w:vAlign w:val="bottom"/>
            <w:tcBorders>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362,507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(2,476)</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170,446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530,854</w:t>
            </w: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for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25,043</w:t>
            </w: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2,824</w:t>
            </w:r>
          </w:p>
        </w:tc>
      </w:tr>
      <w:tr>
        <w:trPr>
          <w:trHeight w:val="216"/>
        </w:trPr>
        <w:tc>
          <w:tcPr>
            <w:tcW w:w="43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27,867</w:t>
            </w:r>
          </w:p>
        </w:tc>
      </w:tr>
      <w:tr>
        <w:trPr>
          <w:trHeight w:val="216"/>
        </w:trPr>
        <w:tc>
          <w:tcPr>
            <w:tcW w:w="43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 shares acquired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(100,846)</w:t>
            </w:r>
          </w:p>
        </w:tc>
      </w:tr>
      <w:tr>
        <w:trPr>
          <w:trHeight w:val="229"/>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16,353</w:t>
            </w:r>
          </w:p>
        </w:tc>
      </w:tr>
      <w:tr>
        <w:trPr>
          <w:trHeight w:val="237"/>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278,510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348</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195,489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474,671</w:t>
            </w:r>
          </w:p>
        </w:tc>
      </w:tr>
      <w:tr>
        <w:trPr>
          <w:trHeight w:val="21"/>
        </w:trPr>
        <w:tc>
          <w:tcPr>
            <w:tcW w:w="4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USD thousands</w:t>
            </w: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year</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25,043</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35,437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63,124</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58,676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78,285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 (income)</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disposals of fixed and intangible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Loss (income) on leases modification</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and revaluation on sale of business unit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Remeasurement of net investment in a finance lease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18,048</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19,169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expense</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21,931</w:t>
            </w:r>
          </w:p>
        </w:tc>
        <w:tc>
          <w:tcPr>
            <w:tcW w:w="100" w:type="dxa"/>
            <w:vAlign w:val="bottom"/>
          </w:tcPr>
          <w:p>
            <w:pPr>
              <w:spacing w:after="0"/>
              <w:rPr>
                <w:sz w:val="19"/>
                <w:szCs w:val="19"/>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(14,458)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(21,311)</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57,671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(43,077)</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(11,417)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(5,512)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37"/>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(6,375)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110,109</w:t>
            </w:r>
          </w:p>
        </w:tc>
        <w:tc>
          <w:tcPr>
            <w:tcW w:w="10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150,835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(12,118)</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(7,742)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(17,577)</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(15,779)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(48,622)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(21,212)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(101,702)</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(60,735)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(9,518)</w:t>
            </w:r>
          </w:p>
        </w:tc>
        <w:tc>
          <w:tcPr>
            <w:tcW w:w="0" w:type="dxa"/>
            <w:vAlign w:val="bottom"/>
          </w:tcPr>
          <w:p>
            <w:pPr>
              <w:spacing w:after="0"/>
              <w:rPr>
                <w:sz w:val="1"/>
                <w:szCs w:val="1"/>
                <w:color w:val="auto"/>
              </w:rPr>
            </w:pPr>
          </w:p>
        </w:tc>
      </w:tr>
      <w:tr>
        <w:trPr>
          <w:trHeight w:val="229"/>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(16,265)</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(17,262)</w:t>
            </w:r>
          </w:p>
        </w:tc>
        <w:tc>
          <w:tcPr>
            <w:tcW w:w="0" w:type="dxa"/>
            <w:vAlign w:val="bottom"/>
          </w:tcPr>
          <w:p>
            <w:pPr>
              <w:spacing w:after="0"/>
              <w:rPr>
                <w:sz w:val="1"/>
                <w:szCs w:val="1"/>
                <w:color w:val="auto"/>
              </w:rPr>
            </w:pPr>
          </w:p>
        </w:tc>
      </w:tr>
      <w:tr>
        <w:trPr>
          <w:trHeight w:val="237"/>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(117,524)</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14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(56,037)</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17,234</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217,500</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FLUCTUATIONS ON CASH AND CASH</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restart"/>
          </w:tcPr>
          <w:p>
            <w:pPr>
              <w:spacing w:after="0"/>
              <w:rPr>
                <w:sz w:val="18"/>
                <w:szCs w:val="18"/>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(2,119)</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5"/>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1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187,068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234,308</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3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 - 8</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w:t>
        <w:tab/>
        <w:t>GENERAL</w:t>
      </w:r>
    </w:p>
    <w:p>
      <w:pPr>
        <w:spacing w:after="0" w:line="239" w:lineRule="exact"/>
        <w:rPr>
          <w:sz w:val="20"/>
          <w:szCs w:val="20"/>
          <w:color w:val="auto"/>
        </w:rPr>
      </w:pPr>
    </w:p>
    <w:p>
      <w:pPr>
        <w:ind w:left="1520" w:hanging="500"/>
        <w:spacing w:after="0"/>
        <w:tabs>
          <w:tab w:leader="none" w:pos="1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229" w:lineRule="exact"/>
        <w:rPr>
          <w:rFonts w:ascii="Times New Roman" w:cs="Times New Roman" w:eastAsia="Times New Roman" w:hAnsi="Times New Roman"/>
          <w:sz w:val="18"/>
          <w:szCs w:val="18"/>
          <w:b w:val="1"/>
          <w:bCs w:val="1"/>
          <w:color w:val="auto"/>
        </w:rPr>
      </w:pPr>
    </w:p>
    <w:p>
      <w:pPr>
        <w:jc w:val="both"/>
        <w:ind w:left="15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Nexxen International Ltd. (the “Company” or “Nexxen International”), formerly known as Tremor International Ltd., was incorporated in Israel under the laws of the State of Israel on March 20, 2007. The address of the registered office is 82 Yigal Alon Street Tel-Aviv, 6789124, Israel.</w:t>
      </w:r>
    </w:p>
    <w:p>
      <w:pPr>
        <w:spacing w:after="0" w:line="177"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Nexxen International Ltd. And its subsidiaries (the “Group”).</w:t>
      </w:r>
    </w:p>
    <w:p>
      <w:pPr>
        <w:spacing w:after="0" w:line="238" w:lineRule="exact"/>
        <w:rPr>
          <w:rFonts w:ascii="Times New Roman" w:cs="Times New Roman" w:eastAsia="Times New Roman" w:hAnsi="Times New Roman"/>
          <w:sz w:val="18"/>
          <w:szCs w:val="18"/>
          <w:b w:val="1"/>
          <w:bCs w:val="1"/>
          <w:color w:val="auto"/>
        </w:rPr>
      </w:pPr>
    </w:p>
    <w:p>
      <w:pPr>
        <w:jc w:val="both"/>
        <w:ind w:left="1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Nexxen International is a global Company offering a unified data-driven end-to-end software platform (the “Platform”) that supports a wide range of media types (e.g., video, display, etc.) and devices (e.g., mobile, Connected TVs, streaming devices, desktop, etc.), creating an efficient marketplace where advertisers (buyers) are able to purchase high quality advertising inventory from publishers (sellers) in real-time and at scale. Nexxen International’s technology stack is comprised of a Demand Side Platform (“DSP”), Supply-Side Platform (“SSP”), Ad Server, and Data Management Platform (“DMP”) including audience insight and activation platform (“Discovery”), empowering customers on both the buy- and sell-sides of the ecosystem to leverage a full suite of data-driven planning and technology solutions to achieve greater efficiency, effectiveness, and outcomes in their advertising efforts. The Company’s DSP solution is delivered mainly through wholly owned subsidiary Nexxen Inc. and is designed to assist customers in a self-managed or full-service capacity to plan and execute digital marketing campaigns in real-time across various ad formats. The Company’s SSP solution (delivered through Nexxen Group LLC) is designed to monetize digital inventory for publishers by enabling their content to have the necessary code and requirements for programmatic advertising integration, and provides access to significant amounts of data and unique demand to drive more effective inventory management and revenue optimization. The Company’s “DMP” integrates both its DSP and SSP solutions, enabling advertisers and publishers to use data from various sources, including web, social media, Connected TV and linear TV, and mobile devices, to optimize results of their advertising campaigns. Nexxen International is headquartered in Israel and maintains offices throughout the U.S., Canada, EMEA and Asia-Pacific.</w:t>
      </w:r>
    </w:p>
    <w:p>
      <w:pPr>
        <w:spacing w:after="0" w:line="211" w:lineRule="exact"/>
        <w:rPr>
          <w:rFonts w:ascii="Times New Roman" w:cs="Times New Roman" w:eastAsia="Times New Roman" w:hAnsi="Times New Roman"/>
          <w:sz w:val="18"/>
          <w:szCs w:val="18"/>
          <w:b w:val="1"/>
          <w:bCs w:val="1"/>
          <w:color w:val="auto"/>
        </w:rPr>
      </w:pPr>
    </w:p>
    <w:p>
      <w:pPr>
        <w:ind w:left="1520" w:hanging="500"/>
        <w:spacing w:after="0"/>
        <w:tabs>
          <w:tab w:leader="none" w:pos="1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events during the reporting period:</w:t>
      </w:r>
    </w:p>
    <w:p>
      <w:pPr>
        <w:spacing w:after="0" w:line="229" w:lineRule="exact"/>
        <w:rPr>
          <w:rFonts w:ascii="Times New Roman" w:cs="Times New Roman" w:eastAsia="Times New Roman" w:hAnsi="Times New Roman"/>
          <w:sz w:val="18"/>
          <w:szCs w:val="18"/>
          <w:b w:val="1"/>
          <w:bCs w:val="1"/>
          <w:color w:val="auto"/>
        </w:rPr>
      </w:pPr>
    </w:p>
    <w:p>
      <w:pPr>
        <w:jc w:val="both"/>
        <w:ind w:left="15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reporting period, the Company made significant changes to its capital structure and listing arrangements. Until February 14, 2025, the Company’s securities were dual listed (i) the Ordinary Shares, par value NIS 0.01 per share (“Ordinary Shares”) of the Company were listed on the AIM Market of the London Stock Exchange and (ii) the American Depositary Shares ("ADSs"), each of which represented two Ordinary Shares of the Company, represented by the American Depositary Receipts ("ADR") were listed on the Nasdaq Capital Market. On December 20, 2024 the shareholders approved a change of the Company’s Nasdaq-listed ADRs for Nasdaq-listed Ordinary Shares and terminated the ADR facility by conducting a Reverse Stock Split (the “Reverse Split”) of the Company’s Ordinary Shares at a two-for-one ratio which allow a one-to-one exchange from ADRs to Ordinary Shares and delisting from the AIM to trade solely on the Nasdaq in the U.S. and the change in par value from NIS 0.01 par value to NIS 0.02 par value. The reverse stock split was completed on February 14,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GENERAL (Cont.)</w:t>
      </w:r>
    </w:p>
    <w:p>
      <w:pPr>
        <w:spacing w:after="0" w:line="225" w:lineRule="exact"/>
        <w:rPr>
          <w:sz w:val="20"/>
          <w:szCs w:val="20"/>
          <w:color w:val="auto"/>
        </w:rPr>
      </w:pPr>
    </w:p>
    <w:p>
      <w:pPr>
        <w:ind w:left="1520" w:hanging="500"/>
        <w:spacing w:after="0"/>
        <w:tabs>
          <w:tab w:leader="none" w:pos="1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events during the reporting period (Cont.):</w:t>
      </w:r>
    </w:p>
    <w:p>
      <w:pPr>
        <w:spacing w:after="0" w:line="229"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 and per ordinary share amounts included in the consolidated financial statements, including (i) issued and paid-in share capital, (ii) the exercise prices of stock options (iii) fair value per share and stock unit, (iv) the number of stock options, restricted stock units and performance share units underlying the Company’s outstanding equity awards and incentive plans, and (v) the earnings (loss) per share, have been retrospectively adjusted to give effect to the Reverse Split for all periods presented.</w:t>
      </w:r>
    </w:p>
    <w:p>
      <w:pPr>
        <w:spacing w:after="0" w:line="199" w:lineRule="exact"/>
        <w:rPr>
          <w:rFonts w:ascii="Times New Roman" w:cs="Times New Roman" w:eastAsia="Times New Roman" w:hAnsi="Times New Roman"/>
          <w:sz w:val="18"/>
          <w:szCs w:val="18"/>
          <w:b w:val="1"/>
          <w:bCs w:val="1"/>
          <w:color w:val="auto"/>
        </w:rPr>
      </w:pPr>
    </w:p>
    <w:p>
      <w:pPr>
        <w:jc w:val="both"/>
        <w:ind w:left="1540" w:hanging="7"/>
        <w:spacing w:after="0" w:line="256" w:lineRule="auto"/>
        <w:tabs>
          <w:tab w:leader="none" w:pos="174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entered into a definitive agreement to renew and expand its long-term strategic partnership with V (formerly known as “VIDAA”), and Programmatic smart TV Home Screen Solution. Under the updated agreement, the Company extended its exclusive access to V’s automatic content recognition (“ACR”) data and obtained exclusive advertising monetization rights on V media in North America through at least 2029. In connection with the expanded partnership, the Company completed an additional investment of USD 20 million in V during 2025. In addition, the Company committed to a further equity investment of USD 15 million, subject to the satisfaction of certain conditions precedent, which is expected to be completed in 2026. See note 18.</w:t>
      </w:r>
    </w:p>
    <w:p>
      <w:pPr>
        <w:spacing w:after="0" w:line="18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these financial statements –</w:t>
      </w:r>
    </w:p>
    <w:p>
      <w:pPr>
        <w:spacing w:after="0" w:line="239"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The Company</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Nexxen International Ltd.</w:t>
            </w:r>
          </w:p>
        </w:tc>
      </w:tr>
      <w:tr>
        <w:trPr>
          <w:trHeight w:val="4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The Group</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Nexxen International Ltd. and its subsidiaries.</w:t>
            </w:r>
          </w:p>
        </w:tc>
      </w:tr>
      <w:tr>
        <w:trPr>
          <w:trHeight w:val="4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Companies,  the  financial  statements  of  which  are  fully  consolidated,  directly,  or</w:t>
            </w:r>
          </w:p>
        </w:tc>
      </w:tr>
      <w:tr>
        <w:trPr>
          <w:trHeight w:val="230"/>
        </w:trPr>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indirectly, with the financial statements of the Company such as Nexxen Group LLC,</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Nexxen Holdings Limited, Nexxen Inc.</w:t>
            </w: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defined by IAS 24, “Related Party Disclosures”.</w:t>
            </w:r>
          </w:p>
        </w:tc>
      </w:tr>
    </w:tbl>
    <w:p>
      <w:pPr>
        <w:spacing w:after="0" w:line="20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239" w:lineRule="exact"/>
        <w:rPr>
          <w:sz w:val="20"/>
          <w:szCs w:val="20"/>
          <w:color w:val="auto"/>
        </w:rPr>
      </w:pPr>
    </w:p>
    <w:p>
      <w:pPr>
        <w:ind w:left="1520" w:hanging="500"/>
        <w:spacing w:after="0"/>
        <w:tabs>
          <w:tab w:leader="none" w:pos="1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42" w:lineRule="exact"/>
        <w:rPr>
          <w:rFonts w:ascii="Times New Roman" w:cs="Times New Roman" w:eastAsia="Times New Roman" w:hAnsi="Times New Roman"/>
          <w:sz w:val="18"/>
          <w:szCs w:val="18"/>
          <w:b w:val="1"/>
          <w:bCs w:val="1"/>
          <w:color w:val="auto"/>
        </w:rPr>
      </w:pPr>
    </w:p>
    <w:p>
      <w:pPr>
        <w:ind w:left="1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IFRS® Accounting Standards as issued by the International Accounting Standards Board (IFRS Accounting Standards).</w:t>
      </w:r>
    </w:p>
    <w:p>
      <w:pPr>
        <w:spacing w:after="0" w:line="18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were authorized for issue by the Company’s Board of Directors on March 3,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PREPARATION (Cont.)</w:t>
      </w:r>
    </w:p>
    <w:p>
      <w:pPr>
        <w:spacing w:after="0" w:line="225" w:lineRule="exact"/>
        <w:rPr>
          <w:sz w:val="20"/>
          <w:szCs w:val="20"/>
          <w:color w:val="auto"/>
        </w:rPr>
      </w:pPr>
    </w:p>
    <w:p>
      <w:pPr>
        <w:ind w:left="1520" w:hanging="500"/>
        <w:spacing w:after="0"/>
        <w:tabs>
          <w:tab w:leader="none" w:pos="1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and presentation currency:</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are presented in US Dollars (USD), which is the Company’s functional currency, and have been rounded to the nearest thousand, except when otherwise indicated. The USD is the currency that represents the principal economic environment in which the Company operates.</w:t>
      </w:r>
    </w:p>
    <w:p>
      <w:pPr>
        <w:spacing w:after="0" w:line="191" w:lineRule="exact"/>
        <w:rPr>
          <w:rFonts w:ascii="Times New Roman" w:cs="Times New Roman" w:eastAsia="Times New Roman" w:hAnsi="Times New Roman"/>
          <w:sz w:val="18"/>
          <w:szCs w:val="18"/>
          <w:b w:val="1"/>
          <w:bCs w:val="1"/>
          <w:color w:val="auto"/>
        </w:rPr>
      </w:pPr>
    </w:p>
    <w:p>
      <w:pPr>
        <w:ind w:left="1520" w:hanging="500"/>
        <w:spacing w:after="0"/>
        <w:tabs>
          <w:tab w:leader="none" w:pos="1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on a historical cost basis except for the following assets and liabilities:</w:t>
      </w:r>
    </w:p>
    <w:p>
      <w:pPr>
        <w:spacing w:after="0" w:line="252" w:lineRule="exact"/>
        <w:rPr>
          <w:rFonts w:ascii="Times New Roman" w:cs="Times New Roman" w:eastAsia="Times New Roman" w:hAnsi="Times New Roman"/>
          <w:sz w:val="18"/>
          <w:szCs w:val="18"/>
          <w:b w:val="1"/>
          <w:bCs w:val="1"/>
          <w:color w:val="auto"/>
        </w:rPr>
      </w:pPr>
    </w:p>
    <w:p>
      <w:pPr>
        <w:ind w:left="1540" w:hanging="398"/>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and current tax assets and liabilities</w:t>
      </w:r>
    </w:p>
    <w:p>
      <w:pPr>
        <w:spacing w:after="0" w:line="2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w:t>
      </w:r>
    </w:p>
    <w:p>
      <w:pPr>
        <w:spacing w:after="0" w:line="9"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9"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shares</w:t>
      </w:r>
    </w:p>
    <w:p>
      <w:pPr>
        <w:spacing w:after="0" w:line="206"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information regarding the measurement of these assets and liabilities see Note 3 regarding material accounting policies.</w:t>
      </w:r>
    </w:p>
    <w:p>
      <w:pPr>
        <w:spacing w:after="0" w:line="248"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and judgments:</w:t>
      </w:r>
    </w:p>
    <w:p>
      <w:pPr>
        <w:spacing w:after="0" w:line="229" w:lineRule="exact"/>
        <w:rPr>
          <w:rFonts w:ascii="Times New Roman" w:cs="Times New Roman" w:eastAsia="Times New Roman" w:hAnsi="Times New Roman"/>
          <w:sz w:val="18"/>
          <w:szCs w:val="18"/>
          <w:b w:val="1"/>
          <w:bCs w:val="1"/>
          <w:color w:val="auto"/>
        </w:rPr>
      </w:pPr>
    </w:p>
    <w:p>
      <w:pPr>
        <w:jc w:val="both"/>
        <w:ind w:left="15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IFRS requires management of the Group to make judgments, estimates and assumptions that affect the application of accounting policies and the reported amounts of assets, liabilities, income and expenses. Actual results may differ from these estimates.</w:t>
      </w:r>
    </w:p>
    <w:p>
      <w:pPr>
        <w:spacing w:after="0" w:line="177"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accounting estimates used in the preparation of the Group’s financial statements requires management of the Group to make assumptions regarding circumstances and events that involve considerable uncertainty. Management of the Group prepares estimates on the basis of past experience, various facts, external circumstances, and reasonable assumptions according to the pertinent circumstances of each estimate.</w:t>
      </w:r>
    </w:p>
    <w:p>
      <w:pPr>
        <w:spacing w:after="0" w:line="185"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in the period in which the estimates are revised and in any future periods affected.</w:t>
      </w:r>
    </w:p>
    <w:p>
      <w:pPr>
        <w:spacing w:after="0" w:line="162" w:lineRule="exact"/>
        <w:rPr>
          <w:rFonts w:ascii="Times New Roman" w:cs="Times New Roman" w:eastAsia="Times New Roman" w:hAnsi="Times New Roman"/>
          <w:sz w:val="18"/>
          <w:szCs w:val="18"/>
          <w:b w:val="1"/>
          <w:bCs w:val="1"/>
          <w:color w:val="auto"/>
        </w:rPr>
      </w:pPr>
    </w:p>
    <w:p>
      <w:pPr>
        <w:jc w:val="both"/>
        <w:ind w:left="15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about assumptions made by the Group with respect to the future and other reasons for uncertainty with respect to estimates that have a significant risk of resulting in a material adjustment to carrying amounts of assets and liabilities in the next financial year are included in Note 7, on intangible assets, with respect to the accounting of software development capitalization and impairment testing for goodwill, in Note 4, on Income Tax, with respect to uncertain tax position and in Note 18 on investments in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PREPARATION (Cont.)</w:t>
      </w:r>
    </w:p>
    <w:p>
      <w:pPr>
        <w:spacing w:after="0" w:line="225" w:lineRule="exact"/>
        <w:rPr>
          <w:sz w:val="20"/>
          <w:szCs w:val="20"/>
          <w:color w:val="auto"/>
        </w:rPr>
      </w:pPr>
    </w:p>
    <w:p>
      <w:pPr>
        <w:ind w:left="1520" w:hanging="500"/>
        <w:spacing w:after="0"/>
        <w:tabs>
          <w:tab w:leader="none" w:pos="1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fair value:</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Preparation of the financial statements requires the Group to determine the fair value of certain assets and liabilities. When determining the fair value of an asset or liability, the Group uses observable market data as much as possible. There are three levels of fair value measurements in the fair value hierarchy that are based on the data used in the measurement, as follows:</w:t>
      </w:r>
    </w:p>
    <w:p>
      <w:pPr>
        <w:spacing w:after="0" w:line="195" w:lineRule="exact"/>
        <w:rPr>
          <w:rFonts w:ascii="Times New Roman" w:cs="Times New Roman" w:eastAsia="Times New Roman" w:hAnsi="Times New Roman"/>
          <w:sz w:val="18"/>
          <w:szCs w:val="18"/>
          <w:b w:val="1"/>
          <w:bCs w:val="1"/>
          <w:color w:val="auto"/>
        </w:rPr>
      </w:pPr>
    </w:p>
    <w:p>
      <w:pPr>
        <w:ind w:left="1940" w:hanging="407"/>
        <w:spacing w:after="0"/>
        <w:tabs>
          <w:tab w:leader="none" w:pos="19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1940" w:hanging="407"/>
        <w:spacing w:after="0"/>
        <w:tabs>
          <w:tab w:leader="none" w:pos="19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either directly or indirectly.</w:t>
      </w:r>
    </w:p>
    <w:p>
      <w:pPr>
        <w:spacing w:after="0" w:line="9" w:lineRule="exact"/>
        <w:rPr>
          <w:rFonts w:ascii="Times New Roman" w:cs="Times New Roman" w:eastAsia="Times New Roman" w:hAnsi="Times New Roman"/>
          <w:sz w:val="18"/>
          <w:szCs w:val="18"/>
          <w:color w:val="auto"/>
        </w:rPr>
      </w:pPr>
    </w:p>
    <w:p>
      <w:pPr>
        <w:ind w:left="1940" w:hanging="407"/>
        <w:spacing w:after="0"/>
        <w:tabs>
          <w:tab w:leader="none" w:pos="19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that are not based on observable market data (unobservable inputs).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Further information about the assumptions that were used to determine fair value is included in the following notes:</w:t>
      </w:r>
    </w:p>
    <w:p>
      <w:pPr>
        <w:spacing w:after="0" w:line="252" w:lineRule="exact"/>
        <w:rPr>
          <w:sz w:val="20"/>
          <w:szCs w:val="20"/>
          <w:color w:val="auto"/>
        </w:rPr>
      </w:pPr>
    </w:p>
    <w:p>
      <w:pPr>
        <w:ind w:left="1800" w:hanging="267"/>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17, on share-based compensation;</w:t>
      </w:r>
    </w:p>
    <w:p>
      <w:pPr>
        <w:spacing w:after="0" w:line="27" w:lineRule="exact"/>
        <w:rPr>
          <w:rFonts w:ascii="Times New Roman" w:cs="Times New Roman" w:eastAsia="Times New Roman" w:hAnsi="Times New Roman"/>
          <w:sz w:val="18"/>
          <w:szCs w:val="18"/>
          <w:color w:val="auto"/>
        </w:rPr>
      </w:pPr>
    </w:p>
    <w:p>
      <w:pPr>
        <w:ind w:left="1800" w:hanging="267"/>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18, on financial instruments.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w:t>
      </w:r>
    </w:p>
    <w:p>
      <w:pPr>
        <w:spacing w:after="0" w:line="243" w:lineRule="exact"/>
        <w:rPr>
          <w:sz w:val="20"/>
          <w:szCs w:val="20"/>
          <w:color w:val="auto"/>
        </w:rPr>
      </w:pPr>
    </w:p>
    <w:p>
      <w:pPr>
        <w:ind w:left="1020"/>
        <w:spacing w:after="0" w:line="297" w:lineRule="auto"/>
        <w:rPr>
          <w:sz w:val="20"/>
          <w:szCs w:val="20"/>
          <w:color w:val="auto"/>
        </w:rPr>
      </w:pPr>
      <w:r>
        <w:rPr>
          <w:rFonts w:ascii="Times New Roman" w:cs="Times New Roman" w:eastAsia="Times New Roman" w:hAnsi="Times New Roman"/>
          <w:sz w:val="18"/>
          <w:szCs w:val="18"/>
          <w:color w:val="auto"/>
        </w:rPr>
        <w:t>The accounting policies set out below have been applied consistently for all periods presented in these consolidated financial statements and have been applied consistently by the Group.</w:t>
      </w:r>
    </w:p>
    <w:p>
      <w:pPr>
        <w:spacing w:after="0" w:line="159" w:lineRule="exact"/>
        <w:rPr>
          <w:sz w:val="20"/>
          <w:szCs w:val="20"/>
          <w:color w:val="auto"/>
        </w:rPr>
      </w:pPr>
    </w:p>
    <w:p>
      <w:pPr>
        <w:ind w:left="1340" w:hanging="320"/>
        <w:spacing w:after="0"/>
        <w:tabs>
          <w:tab w:leader="none" w:pos="1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42"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Non-derivative financial assets</w:t>
      </w:r>
    </w:p>
    <w:p>
      <w:pPr>
        <w:spacing w:after="0" w:line="225" w:lineRule="exact"/>
        <w:rPr>
          <w:rFonts w:ascii="Times New Roman" w:cs="Times New Roman" w:eastAsia="Times New Roman" w:hAnsi="Times New Roman"/>
          <w:sz w:val="18"/>
          <w:szCs w:val="18"/>
          <w:color w:val="auto"/>
        </w:rPr>
      </w:pPr>
    </w:p>
    <w:p>
      <w:pPr>
        <w:jc w:val="both"/>
        <w:ind w:left="20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non-derivative financial assets, which are measured at amortized cost, mainly consist of accounts receivable which are held to collect and deposits. Accounts receivable represent amounts owed by customers resulting from business transactions, and they are recognized at their original invoiced values, adjusted for expected credit losses. Loss rates are based on historical collection experience, while taking into consideration current customer information, collection history, and other relevant data at each reporting period.</w:t>
      </w:r>
    </w:p>
    <w:p>
      <w:pPr>
        <w:spacing w:after="0" w:line="185" w:lineRule="exact"/>
        <w:rPr>
          <w:rFonts w:ascii="Times New Roman" w:cs="Times New Roman" w:eastAsia="Times New Roman" w:hAnsi="Times New Roman"/>
          <w:sz w:val="18"/>
          <w:szCs w:val="18"/>
          <w:color w:val="auto"/>
        </w:rPr>
      </w:pPr>
    </w:p>
    <w:p>
      <w:pPr>
        <w:jc w:val="both"/>
        <w:ind w:left="20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non-derivative financial assets, which are measured at fair value through profit and loss, consist of investment in shares. Net gains and losses are recognized in consolidated statements of operations and other comprehensive income (loss), financing income/expenses.</w:t>
      </w:r>
    </w:p>
    <w:p>
      <w:pPr>
        <w:spacing w:after="0" w:line="195"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Non-derivative financial liabilities</w:t>
      </w:r>
    </w:p>
    <w:p>
      <w:pPr>
        <w:spacing w:after="0" w:line="225" w:lineRule="exact"/>
        <w:rPr>
          <w:rFonts w:ascii="Times New Roman" w:cs="Times New Roman" w:eastAsia="Times New Roman" w:hAnsi="Times New Roman"/>
          <w:sz w:val="18"/>
          <w:szCs w:val="18"/>
          <w:color w:val="auto"/>
        </w:rPr>
      </w:pPr>
    </w:p>
    <w:p>
      <w:pPr>
        <w:ind w:left="20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non-derivative financial liabilities mainly include trade and other payables and loan, all measured at amortized cost.</w:t>
      </w:r>
    </w:p>
    <w:p>
      <w:pPr>
        <w:spacing w:after="0" w:line="162"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w:t>
      </w:r>
    </w:p>
    <w:p>
      <w:pPr>
        <w:spacing w:after="0" w:line="238" w:lineRule="exact"/>
        <w:rPr>
          <w:rFonts w:ascii="Times New Roman" w:cs="Times New Roman" w:eastAsia="Times New Roman" w:hAnsi="Times New Roman"/>
          <w:sz w:val="18"/>
          <w:szCs w:val="18"/>
          <w:color w:val="auto"/>
        </w:rPr>
      </w:pPr>
    </w:p>
    <w:p>
      <w:pPr>
        <w:jc w:val="both"/>
        <w:ind w:left="20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share capital recognized as equity is repurchased by the Company, the amount of the consideration paid, which includes directly attributable costs, is recognized as a deduction from equity. Repurchased shares are classified as a deduction in Share Premium.</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520" w:hanging="500"/>
        <w:spacing w:after="0"/>
        <w:tabs>
          <w:tab w:leader="none" w:pos="1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are measured at cost less accumulated depreciation. The cost of fixed assets includes expenditure that is directly attributable to the acquisition of the asset. Depreciation is provided on all property and equipment at rates calculated to write each asset down to its residual value (assumed to be nil), using the straight-line method, over its expected useful life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w:t>
            </w:r>
          </w:p>
        </w:tc>
      </w:tr>
      <w:tr>
        <w:trPr>
          <w:trHeight w:val="24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servers</w:t>
            </w: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3-5</w:t>
            </w:r>
          </w:p>
        </w:tc>
        <w:tc>
          <w:tcPr>
            <w:tcW w:w="3000" w:type="dxa"/>
            <w:vAlign w:val="bottom"/>
          </w:tcPr>
          <w:p>
            <w:pPr>
              <w:spacing w:after="0"/>
              <w:rPr>
                <w:sz w:val="21"/>
                <w:szCs w:val="2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300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shorter of the lease term and the useful life</w:t>
            </w:r>
          </w:p>
        </w:tc>
      </w:tr>
    </w:tbl>
    <w:p>
      <w:pPr>
        <w:spacing w:after="0" w:line="207" w:lineRule="exact"/>
        <w:rPr>
          <w:sz w:val="20"/>
          <w:szCs w:val="20"/>
          <w:color w:val="auto"/>
        </w:rPr>
      </w:pPr>
    </w:p>
    <w:p>
      <w:pPr>
        <w:ind w:left="1520" w:hanging="500"/>
        <w:spacing w:after="0"/>
        <w:tabs>
          <w:tab w:leader="none" w:pos="1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43" w:lineRule="exact"/>
        <w:rPr>
          <w:sz w:val="20"/>
          <w:szCs w:val="20"/>
          <w:color w:val="auto"/>
        </w:rPr>
      </w:pPr>
    </w:p>
    <w:p>
      <w:pPr>
        <w:ind w:left="2040" w:hanging="507"/>
        <w:spacing w:after="0"/>
        <w:tabs>
          <w:tab w:leader="none" w:pos="20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w:t>
      </w:r>
    </w:p>
    <w:p>
      <w:pPr>
        <w:spacing w:after="0" w:line="239" w:lineRule="exact"/>
        <w:rPr>
          <w:sz w:val="20"/>
          <w:szCs w:val="20"/>
          <w:color w:val="auto"/>
        </w:rPr>
      </w:pPr>
    </w:p>
    <w:p>
      <w:pPr>
        <w:jc w:val="both"/>
        <w:ind w:left="1540" w:right="20"/>
        <w:spacing w:after="0" w:line="282" w:lineRule="auto"/>
        <w:rPr>
          <w:sz w:val="20"/>
          <w:szCs w:val="20"/>
          <w:color w:val="auto"/>
        </w:rPr>
      </w:pPr>
      <w:r>
        <w:rPr>
          <w:rFonts w:ascii="Times New Roman" w:cs="Times New Roman" w:eastAsia="Times New Roman" w:hAnsi="Times New Roman"/>
          <w:sz w:val="18"/>
          <w:szCs w:val="18"/>
          <w:color w:val="auto"/>
        </w:rPr>
        <w:t>Expenditure on research activities, undertaken with the prospect of gaining new scientific or technical knowledge and understanding, is recognized in profit or loss when incurred.</w:t>
      </w:r>
    </w:p>
    <w:p>
      <w:pPr>
        <w:spacing w:after="0" w:line="189"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Development activities involve a plan or design for the production of new or substantially improved products and processes. Development expenditure is capitalized only if development costs can be measured reliably, the product or process is technically and commercially feasible, future economic benefits are probable, and the Group has the intention and sufficient resources to complete development and to use or sell the asset. The expenditure capitalized in respect of development activities includes the cost of direct labor costs that are directly attributable to preparing the asset for its intended use. Other development expenditure is recognized in profit or loss as incurred.</w:t>
      </w:r>
    </w:p>
    <w:p>
      <w:pPr>
        <w:spacing w:after="0" w:line="190" w:lineRule="exact"/>
        <w:rPr>
          <w:sz w:val="20"/>
          <w:szCs w:val="20"/>
          <w:color w:val="auto"/>
        </w:rPr>
      </w:pPr>
    </w:p>
    <w:p>
      <w:pPr>
        <w:ind w:left="2040" w:hanging="507"/>
        <w:spacing w:after="0"/>
        <w:tabs>
          <w:tab w:leader="none" w:pos="2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39" w:lineRule="exact"/>
        <w:rPr>
          <w:sz w:val="20"/>
          <w:szCs w:val="20"/>
          <w:color w:val="auto"/>
        </w:rPr>
      </w:pPr>
    </w:p>
    <w:p>
      <w:pPr>
        <w:jc w:val="both"/>
        <w:ind w:left="1540"/>
        <w:spacing w:after="0" w:line="274" w:lineRule="auto"/>
        <w:rPr>
          <w:sz w:val="20"/>
          <w:szCs w:val="20"/>
          <w:color w:val="auto"/>
        </w:rPr>
      </w:pPr>
      <w:r>
        <w:rPr>
          <w:rFonts w:ascii="Times New Roman" w:cs="Times New Roman" w:eastAsia="Times New Roman" w:hAnsi="Times New Roman"/>
          <w:sz w:val="18"/>
          <w:szCs w:val="18"/>
          <w:color w:val="auto"/>
        </w:rPr>
        <w:t>The Group has identified its entire operation as a single cash generating unit (CGU). The Company conducts an annual assessment of goodwill impairment on an annual basis, at year end. According to management assessment as of December 31, 2025, no impairment in respect to goodwill has been recorded. See note 7.</w:t>
      </w:r>
    </w:p>
    <w:p>
      <w:pPr>
        <w:spacing w:after="0" w:line="182" w:lineRule="exact"/>
        <w:rPr>
          <w:sz w:val="20"/>
          <w:szCs w:val="20"/>
          <w:color w:val="auto"/>
        </w:rPr>
      </w:pPr>
    </w:p>
    <w:p>
      <w:pPr>
        <w:ind w:left="2040" w:hanging="507"/>
        <w:spacing w:after="0"/>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w:t>
      </w:r>
    </w:p>
    <w:p>
      <w:pPr>
        <w:spacing w:after="0" w:line="239" w:lineRule="exact"/>
        <w:rPr>
          <w:sz w:val="20"/>
          <w:szCs w:val="20"/>
          <w:color w:val="auto"/>
        </w:rPr>
      </w:pPr>
    </w:p>
    <w:p>
      <w:pPr>
        <w:jc w:val="both"/>
        <w:ind w:left="1540"/>
        <w:spacing w:after="0" w:line="274" w:lineRule="auto"/>
        <w:rPr>
          <w:sz w:val="20"/>
          <w:szCs w:val="20"/>
          <w:color w:val="auto"/>
        </w:rPr>
      </w:pPr>
      <w:r>
        <w:rPr>
          <w:rFonts w:ascii="Times New Roman" w:cs="Times New Roman" w:eastAsia="Times New Roman" w:hAnsi="Times New Roman"/>
          <w:sz w:val="18"/>
          <w:szCs w:val="18"/>
          <w:color w:val="auto"/>
        </w:rPr>
        <w:t>Internally generated intangible assets, such as software development costs, are not systematically amortized as long as they are not available for use, i.e., they are not yet on site or in working condition for their intended use. Goodwill is not systematically amortized as well but is tested for impairment at least once a year.</w:t>
      </w:r>
    </w:p>
    <w:p>
      <w:pPr>
        <w:spacing w:after="0" w:line="196"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Amortization is recognized in the statements of operation and other comprehensive income (loss) on a straight-line basis over the estimated useful lives of the intangible assets from the date they are available for use.</w:t>
      </w:r>
    </w:p>
    <w:p>
      <w:pPr>
        <w:spacing w:after="0" w:line="1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estimated useful lives for the current and comparative periods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Software (developed and acquired)</w:t>
            </w:r>
          </w:p>
        </w:tc>
        <w:tc>
          <w:tcPr>
            <w:tcW w:w="6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4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Customer relationships</w:t>
            </w:r>
          </w:p>
        </w:tc>
        <w:tc>
          <w:tcPr>
            <w:tcW w:w="6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5-6 years</w:t>
            </w:r>
          </w:p>
        </w:tc>
      </w:tr>
      <w:tr>
        <w:trPr>
          <w:trHeight w:val="234"/>
        </w:trPr>
        <w:tc>
          <w:tcPr>
            <w:tcW w:w="47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Technology</w:t>
            </w:r>
          </w:p>
        </w:tc>
        <w:tc>
          <w:tcPr>
            <w:tcW w:w="6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3-5.25 years</w:t>
            </w:r>
          </w:p>
        </w:tc>
      </w:tr>
      <w:tr>
        <w:trPr>
          <w:trHeight w:val="634"/>
        </w:trPr>
        <w:tc>
          <w:tcPr>
            <w:tcW w:w="4780" w:type="dxa"/>
            <w:vAlign w:val="bottom"/>
          </w:tcPr>
          <w:p>
            <w:pPr>
              <w:spacing w:after="0"/>
              <w:rPr>
                <w:sz w:val="24"/>
                <w:szCs w:val="24"/>
                <w:color w:val="auto"/>
              </w:rPr>
            </w:pPr>
          </w:p>
        </w:tc>
        <w:tc>
          <w:tcPr>
            <w:tcW w:w="64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 - 13</w:t>
            </w:r>
          </w:p>
        </w:tc>
      </w:tr>
      <w:tr>
        <w:trPr>
          <w:trHeight w:val="74"/>
        </w:trPr>
        <w:tc>
          <w:tcPr>
            <w:tcW w:w="4780" w:type="dxa"/>
            <w:vAlign w:val="bottom"/>
            <w:tcBorders>
              <w:bottom w:val="single" w:sz="8" w:color="auto"/>
            </w:tcBorders>
          </w:tcPr>
          <w:p>
            <w:pPr>
              <w:spacing w:after="0"/>
              <w:rPr>
                <w:sz w:val="6"/>
                <w:szCs w:val="6"/>
                <w:color w:val="auto"/>
              </w:rPr>
            </w:pPr>
          </w:p>
        </w:tc>
        <w:tc>
          <w:tcPr>
            <w:tcW w:w="646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3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520" w:hanging="500"/>
        <w:spacing w:after="0"/>
        <w:tabs>
          <w:tab w:leader="none" w:pos="15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expense related to stock options, restricted stock units and performance share units. The Group’s share-based compensation plan is measured and recognized in the consolidated financial statements based on the fair value of the awards granted. The fair value of each option award is estimated on the grant date using the Black-Scholes option-pricing model. Stock-based compensation expense related to stock options, restricted stocks and performance share is recognized over the requisite service periods of the awards.</w:t>
      </w:r>
    </w:p>
    <w:p>
      <w:pPr>
        <w:spacing w:after="0" w:line="185"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Determining the fair value of stock options awards requires judgment. The Company’s use of the Black-Scholes option pricing model requires the input of subjective assumptions. The assumptions used in the Company’s option-pricing model represent management’s best estimates. These estimates involve inherent uncertainties and the application of management’s judgment.</w:t>
      </w:r>
    </w:p>
    <w:p>
      <w:pPr>
        <w:spacing w:after="0" w:line="195"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assumptions and estimates are as follows:</w:t>
      </w:r>
    </w:p>
    <w:p>
      <w:pPr>
        <w:spacing w:after="0" w:line="238" w:lineRule="exact"/>
        <w:rPr>
          <w:rFonts w:ascii="Times New Roman" w:cs="Times New Roman" w:eastAsia="Times New Roman" w:hAnsi="Times New Roman"/>
          <w:sz w:val="18"/>
          <w:szCs w:val="18"/>
          <w:b w:val="1"/>
          <w:bCs w:val="1"/>
          <w:color w:val="auto"/>
        </w:rPr>
      </w:pPr>
    </w:p>
    <w:p>
      <w:pPr>
        <w:ind w:left="1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Risk-Free Interest Rate. The risk-free interest rate is based on the yields of U.S. Treasury securities with maturities approximating the expected term of the awards.</w:t>
      </w:r>
    </w:p>
    <w:p>
      <w:pPr>
        <w:spacing w:after="0" w:line="18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Expected Term. The expected term of an award is calculated based on the vesting date and the expiration date of the award.</w:t>
      </w:r>
    </w:p>
    <w:p>
      <w:pPr>
        <w:spacing w:after="0" w:line="238" w:lineRule="exact"/>
        <w:rPr>
          <w:rFonts w:ascii="Times New Roman" w:cs="Times New Roman" w:eastAsia="Times New Roman" w:hAnsi="Times New Roman"/>
          <w:sz w:val="18"/>
          <w:szCs w:val="18"/>
          <w:b w:val="1"/>
          <w:bCs w:val="1"/>
          <w:color w:val="auto"/>
        </w:rPr>
      </w:pPr>
    </w:p>
    <w:p>
      <w:pPr>
        <w:ind w:left="1540" w:right="2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Volatility. The Company determined the price volatility based on daily price observations over a period equivalent to the expected term of the award.</w:t>
      </w:r>
    </w:p>
    <w:p>
      <w:pPr>
        <w:spacing w:after="0" w:line="16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 Yield. The dividend yield assumption is based on the Company’s history and current expectations of dividend payouts.</w:t>
      </w:r>
    </w:p>
    <w:p>
      <w:pPr>
        <w:spacing w:after="0" w:line="238"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of Common Stock. The fair value of common stock is based on the closing price of the Company's common stock on the grant date.</w:t>
      </w:r>
    </w:p>
    <w:p>
      <w:pPr>
        <w:spacing w:after="0" w:line="158" w:lineRule="exact"/>
        <w:rPr>
          <w:rFonts w:ascii="Times New Roman" w:cs="Times New Roman" w:eastAsia="Times New Roman" w:hAnsi="Times New Roman"/>
          <w:sz w:val="18"/>
          <w:szCs w:val="18"/>
          <w:b w:val="1"/>
          <w:bCs w:val="1"/>
          <w:color w:val="auto"/>
        </w:rPr>
      </w:pPr>
    </w:p>
    <w:p>
      <w:pPr>
        <w:ind w:left="1340" w:hanging="320"/>
        <w:spacing w:after="0"/>
        <w:tabs>
          <w:tab w:leader="none" w:pos="1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42"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benefits:</w:t>
      </w:r>
    </w:p>
    <w:p>
      <w:pPr>
        <w:spacing w:after="0" w:line="239" w:lineRule="exact"/>
        <w:rPr>
          <w:sz w:val="20"/>
          <w:szCs w:val="20"/>
          <w:color w:val="auto"/>
        </w:rPr>
      </w:pPr>
    </w:p>
    <w:p>
      <w:pPr>
        <w:jc w:val="both"/>
        <w:ind w:left="1540"/>
        <w:spacing w:after="0" w:line="271" w:lineRule="auto"/>
        <w:rPr>
          <w:sz w:val="20"/>
          <w:szCs w:val="20"/>
          <w:color w:val="auto"/>
        </w:rPr>
      </w:pPr>
      <w:r>
        <w:rPr>
          <w:rFonts w:ascii="Times New Roman" w:cs="Times New Roman" w:eastAsia="Times New Roman" w:hAnsi="Times New Roman"/>
          <w:sz w:val="18"/>
          <w:szCs w:val="18"/>
          <w:color w:val="auto"/>
        </w:rPr>
        <w:t>The Group’s main post-employment benefit plan is under section 14 to the Severance Pay Law ("Section 14") for the Israeli employees and under section 401K for US employees, which is accounted for as a contribution plan. In addition, for certain employees, the Group has an additional immaterial plan that is accounted for as a defined benefit plan. These plans are usually financed by deposits with insurance companies or with funds managed by a trustee.</w:t>
      </w:r>
    </w:p>
    <w:p>
      <w:pPr>
        <w:spacing w:after="0" w:line="186" w:lineRule="exact"/>
        <w:rPr>
          <w:sz w:val="20"/>
          <w:szCs w:val="20"/>
          <w:color w:val="auto"/>
        </w:rPr>
      </w:pPr>
    </w:p>
    <w:p>
      <w:pPr>
        <w:ind w:left="2040" w:hanging="507"/>
        <w:spacing w:after="0"/>
        <w:tabs>
          <w:tab w:leader="none" w:pos="2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benefits:</w:t>
      </w:r>
    </w:p>
    <w:p>
      <w:pPr>
        <w:spacing w:after="0" w:line="239"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Short-term employee benefit obligations are measured on an undiscounted basis and are expensed as the related service is provided or upon the actual absence of the employee when the benefit is not accumulated (such as maternity leave).</w:t>
      </w:r>
    </w:p>
    <w:p>
      <w:pPr>
        <w:spacing w:after="0" w:line="189" w:lineRule="exact"/>
        <w:rPr>
          <w:sz w:val="20"/>
          <w:szCs w:val="20"/>
          <w:color w:val="auto"/>
        </w:rPr>
      </w:pPr>
    </w:p>
    <w:p>
      <w:pPr>
        <w:jc w:val="both"/>
        <w:ind w:left="1540"/>
        <w:spacing w:after="0" w:line="271" w:lineRule="auto"/>
        <w:rPr>
          <w:sz w:val="20"/>
          <w:szCs w:val="20"/>
          <w:color w:val="auto"/>
        </w:rPr>
      </w:pPr>
      <w:r>
        <w:rPr>
          <w:rFonts w:ascii="Times New Roman" w:cs="Times New Roman" w:eastAsia="Times New Roman" w:hAnsi="Times New Roman"/>
          <w:sz w:val="18"/>
          <w:szCs w:val="18"/>
          <w:color w:val="auto"/>
        </w:rPr>
        <w:t>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 The employee benefits are classified, for measurement purposes, as short-term benefits or as other long-term benefits depending on when the Group expects the benefits to be wholly settled.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340" w:hanging="320"/>
        <w:spacing w:after="0"/>
        <w:tabs>
          <w:tab w:leader="none" w:pos="1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1540" w:right="20"/>
        <w:spacing w:after="0" w:line="297" w:lineRule="auto"/>
        <w:rPr>
          <w:sz w:val="20"/>
          <w:szCs w:val="20"/>
          <w:color w:val="auto"/>
        </w:rPr>
      </w:pPr>
      <w:r>
        <w:rPr>
          <w:rFonts w:ascii="Times New Roman" w:cs="Times New Roman" w:eastAsia="Times New Roman" w:hAnsi="Times New Roman"/>
          <w:sz w:val="18"/>
          <w:szCs w:val="18"/>
          <w:color w:val="auto"/>
        </w:rPr>
        <w:t>The Group generates revenue from transactions where it provides access to a Platform for the purchase and sale of digital advertising inventory. Its customers are both ad buyers, including brands and agencies, and digital publishers.</w:t>
      </w:r>
    </w:p>
    <w:p>
      <w:pPr>
        <w:spacing w:after="0" w:line="163" w:lineRule="exact"/>
        <w:rPr>
          <w:sz w:val="20"/>
          <w:szCs w:val="20"/>
          <w:color w:val="auto"/>
        </w:rPr>
      </w:pPr>
    </w:p>
    <w:p>
      <w:pPr>
        <w:jc w:val="both"/>
        <w:ind w:left="1540"/>
        <w:spacing w:after="0" w:line="281" w:lineRule="auto"/>
        <w:rPr>
          <w:sz w:val="20"/>
          <w:szCs w:val="20"/>
          <w:color w:val="auto"/>
        </w:rPr>
      </w:pPr>
      <w:r>
        <w:rPr>
          <w:rFonts w:ascii="Times New Roman" w:cs="Times New Roman" w:eastAsia="Times New Roman" w:hAnsi="Times New Roman"/>
          <w:sz w:val="18"/>
          <w:szCs w:val="18"/>
          <w:color w:val="auto"/>
        </w:rPr>
        <w:t>The Group generates revenue through Platform fees that are tailored to fit the customer’s specific utilization of its solutions and include: (i) a percentage of spend, (ii) flat fees and (iii) fixed costs per mille (“CPM”). CPM refers to a payment option in which customers pay a price for every 1,000 impressions an advertisement receives.</w:t>
      </w:r>
    </w:p>
    <w:p>
      <w:pPr>
        <w:spacing w:after="0" w:line="177"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18"/>
          <w:szCs w:val="18"/>
          <w:color w:val="auto"/>
        </w:rPr>
        <w:t>The Company maintains agreements with each publisher and buyer in the form of written service agreements, which set out the terms of the relationship, including payment terms and access to the Group’s Platforms.</w:t>
      </w:r>
    </w:p>
    <w:p>
      <w:pPr>
        <w:spacing w:after="0" w:line="163" w:lineRule="exact"/>
        <w:rPr>
          <w:sz w:val="20"/>
          <w:szCs w:val="20"/>
          <w:color w:val="auto"/>
        </w:rPr>
      </w:pPr>
    </w:p>
    <w:p>
      <w:pPr>
        <w:jc w:val="both"/>
        <w:ind w:left="1540"/>
        <w:spacing w:after="0" w:line="271" w:lineRule="auto"/>
        <w:rPr>
          <w:sz w:val="20"/>
          <w:szCs w:val="20"/>
          <w:color w:val="auto"/>
        </w:rPr>
      </w:pPr>
      <w:r>
        <w:rPr>
          <w:rFonts w:ascii="Times New Roman" w:cs="Times New Roman" w:eastAsia="Times New Roman" w:hAnsi="Times New Roman"/>
          <w:sz w:val="18"/>
          <w:szCs w:val="18"/>
          <w:color w:val="auto"/>
        </w:rPr>
        <w:t>Publishers provide digital advertising inventory to the Group’s Platform in the form of advertising requests, or ad request. When the Group receives ad requests from a publisher, it send bid requests to buyers, which enable buyers to bid on sellers’ digital advertising inventory according to a predefined set of parameters (e.g., demographics, intent, location, etc.). Winning bids create advertising, or paid impressions, for the publisher to present to the buyers.</w:t>
      </w:r>
    </w:p>
    <w:p>
      <w:pPr>
        <w:spacing w:after="0" w:line="186" w:lineRule="exact"/>
        <w:rPr>
          <w:sz w:val="20"/>
          <w:szCs w:val="20"/>
          <w:color w:val="auto"/>
        </w:rPr>
      </w:pPr>
    </w:p>
    <w:p>
      <w:pPr>
        <w:jc w:val="both"/>
        <w:ind w:left="1540"/>
        <w:spacing w:after="0" w:line="271" w:lineRule="auto"/>
        <w:rPr>
          <w:sz w:val="20"/>
          <w:szCs w:val="20"/>
          <w:color w:val="auto"/>
        </w:rPr>
      </w:pPr>
      <w:r>
        <w:rPr>
          <w:rFonts w:ascii="Times New Roman" w:cs="Times New Roman" w:eastAsia="Times New Roman" w:hAnsi="Times New Roman"/>
          <w:sz w:val="18"/>
          <w:szCs w:val="18"/>
          <w:color w:val="auto"/>
        </w:rPr>
        <w:t>The Group generates revenue from its Programmatic and Performance activities. Programmatic revenue is derived from the end-to-end platform of programmatic advertising, which uses software and algorithms to match buyers and sellers of digital advertising in a technology-driven marketplace, including licenses for data tools. Performance revenue is derived from non-core activities, consisting mainly of mobile-based activities that help brands reach their users.</w:t>
      </w:r>
    </w:p>
    <w:p>
      <w:pPr>
        <w:spacing w:after="0" w:line="186" w:lineRule="exact"/>
        <w:rPr>
          <w:sz w:val="20"/>
          <w:szCs w:val="20"/>
          <w:color w:val="auto"/>
        </w:rPr>
      </w:pPr>
    </w:p>
    <w:p>
      <w:pPr>
        <w:jc w:val="both"/>
        <w:ind w:left="1540"/>
        <w:spacing w:after="0" w:line="281" w:lineRule="auto"/>
        <w:rPr>
          <w:sz w:val="20"/>
          <w:szCs w:val="20"/>
          <w:color w:val="auto"/>
        </w:rPr>
      </w:pPr>
      <w:r>
        <w:rPr>
          <w:rFonts w:ascii="Times New Roman" w:cs="Times New Roman" w:eastAsia="Times New Roman" w:hAnsi="Times New Roman"/>
          <w:sz w:val="18"/>
          <w:szCs w:val="18"/>
          <w:color w:val="auto"/>
        </w:rPr>
        <w:t>The Company concluded that its Programmatic activity (i) does not have manual control over the process, (ii) the Company is not primarily responsible for fulfillment, (iii) the Company has no inventory risk and (iv) the Company obtains only momentary a title to the advertising space offered via the end-to-end platform.</w:t>
      </w:r>
    </w:p>
    <w:p>
      <w:pPr>
        <w:spacing w:after="0" w:line="177"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18"/>
          <w:szCs w:val="18"/>
          <w:color w:val="auto"/>
        </w:rPr>
        <w:t>As a result, the Group reports its Programmatic business, tech stack, features, business models and activity as an agent and therefore presented revenue from Programmatic on a net basis.</w:t>
      </w:r>
    </w:p>
    <w:p>
      <w:pPr>
        <w:spacing w:after="0" w:line="163"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18"/>
          <w:szCs w:val="18"/>
          <w:color w:val="auto"/>
        </w:rPr>
        <w:t>For the Performance activity the Company is the primary obligor to provide the services and, as such, revenue is presented on a gross basis.</w:t>
      </w:r>
    </w:p>
    <w:p>
      <w:pPr>
        <w:spacing w:after="0" w:line="163" w:lineRule="exact"/>
        <w:rPr>
          <w:sz w:val="20"/>
          <w:szCs w:val="20"/>
          <w:color w:val="auto"/>
        </w:rPr>
      </w:pPr>
    </w:p>
    <w:p>
      <w:pPr>
        <w:jc w:val="both"/>
        <w:ind w:left="1540"/>
        <w:spacing w:after="0" w:line="297" w:lineRule="auto"/>
        <w:rPr>
          <w:sz w:val="20"/>
          <w:szCs w:val="20"/>
          <w:color w:val="auto"/>
        </w:rPr>
      </w:pPr>
      <w:r>
        <w:rPr>
          <w:rFonts w:ascii="Times New Roman" w:cs="Times New Roman" w:eastAsia="Times New Roman" w:hAnsi="Times New Roman"/>
          <w:sz w:val="18"/>
          <w:szCs w:val="18"/>
          <w:color w:val="auto"/>
        </w:rPr>
        <w:t>Management is focused on driving growth with the Programmatic activity through the end-to-end platform, while the Performance activity is declining over time.</w:t>
      </w:r>
    </w:p>
    <w:p>
      <w:pPr>
        <w:spacing w:after="0" w:line="1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Group estimates and records reduction to revenue for volume discounts based on expected volume during the incentive term.</w:t>
      </w:r>
    </w:p>
    <w:p>
      <w:pPr>
        <w:spacing w:after="0" w:line="239" w:lineRule="exact"/>
        <w:rPr>
          <w:sz w:val="20"/>
          <w:szCs w:val="20"/>
          <w:color w:val="auto"/>
        </w:rPr>
      </w:pPr>
    </w:p>
    <w:p>
      <w:pPr>
        <w:jc w:val="both"/>
        <w:ind w:left="1540"/>
        <w:spacing w:after="0" w:line="271" w:lineRule="auto"/>
        <w:rPr>
          <w:sz w:val="20"/>
          <w:szCs w:val="20"/>
          <w:color w:val="auto"/>
        </w:rPr>
      </w:pPr>
      <w:r>
        <w:rPr>
          <w:rFonts w:ascii="Times New Roman" w:cs="Times New Roman" w:eastAsia="Times New Roman" w:hAnsi="Times New Roman"/>
          <w:sz w:val="18"/>
          <w:szCs w:val="18"/>
          <w:color w:val="auto"/>
        </w:rPr>
        <w:t>The Group generally invoices buyers at the end of each month for the full purchase price of ad impressions monetized in that month. Accounts receivables are recorded at the amount of gross billings for the amount it is responsible to collect and accounts payable are recorded at the net amount payable to publishers. Accordingly, both accounts receivable and accounts payable appear large in relation to revenue reported on a net basis.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540" w:right="7780" w:hanging="520"/>
        <w:spacing w:after="0" w:line="518" w:lineRule="auto"/>
        <w:tabs>
          <w:tab w:leader="none" w:pos="1521"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Classification of expenses Cost of revenue</w:t>
      </w:r>
    </w:p>
    <w:p>
      <w:pPr>
        <w:spacing w:after="0" w:line="1"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 (exclusive of depreciation and amortization) primarily consists of hosting fees and data costs for both Programmatic and Performance activities, as well as media costs for Performance activities that are directly attributable to revenue generated by the Company and generally based on the revenue share arrangements with audience and content partners. See Note 13.</w:t>
      </w:r>
    </w:p>
    <w:p>
      <w:pPr>
        <w:spacing w:after="0" w:line="17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consist primarily of compensation and related costs for personnel responsible for the research and development of new and existing products and services. Where required, development expenditures are capitalized in accordance with the Company's standard internal capitalized development policy in accordance with IAS 38 (also see Note 3c(1)). All research costs are expensed when incurred.</w:t>
      </w:r>
    </w:p>
    <w:p>
      <w:pPr>
        <w:spacing w:after="0" w:line="181"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and marketing</w:t>
      </w:r>
    </w:p>
    <w:p>
      <w:pPr>
        <w:spacing w:after="0" w:line="242"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and marketing expenses consist primarily of compensation and related costs for personnel engaged in customer service, sales, and sales support functions, as well as advertising and promotional expenditures.</w:t>
      </w:r>
    </w:p>
    <w:p>
      <w:pPr>
        <w:spacing w:after="0" w:line="15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consist primarily of compensation and related costs for personnel, and include costs related to the Company’s facilities, finance, human resources, doubtful debts, legal organizations and fees for professional services. Professional services are principally comprised of external legal, public company expenses and information technology consulting and outsourcing services that are not directly related to other operational expenses.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520" w:hanging="500"/>
        <w:spacing w:after="0"/>
        <w:tabs>
          <w:tab w:leader="none" w:pos="1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income and expenses:</w:t>
      </w:r>
    </w:p>
    <w:p>
      <w:pPr>
        <w:spacing w:after="0" w:line="242"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Financing income and expense mainly comprises foreign currencies gain and losses due to exchange rate differences, interest, hedging and bank fees.</w:t>
      </w:r>
    </w:p>
    <w:p>
      <w:pPr>
        <w:spacing w:after="0" w:line="162"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foreign currency differences from a monetary item receivable from or payable to a foreign operation, including foreign operations that are subsidiaries, are recognized in profit or loss in the consolidated financial statements.</w:t>
      </w:r>
    </w:p>
    <w:p>
      <w:pPr>
        <w:spacing w:after="0" w:line="162"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exchange gains and losses arising from a monetary item receivable from or payable to a foreign operation, the settlement of which is neither planned nor likely in the foreseeable future, are considered to form part of a net investment in a foreign operation and are recognized in other comprehensive income (loss), and are presented within equity as part of the currency translation reserve.</w:t>
      </w:r>
    </w:p>
    <w:p>
      <w:pPr>
        <w:spacing w:after="0" w:line="195" w:lineRule="exact"/>
        <w:rPr>
          <w:rFonts w:ascii="Times New Roman" w:cs="Times New Roman" w:eastAsia="Times New Roman" w:hAnsi="Times New Roman"/>
          <w:sz w:val="18"/>
          <w:szCs w:val="18"/>
          <w:b w:val="1"/>
          <w:bCs w:val="1"/>
          <w:color w:val="auto"/>
        </w:rPr>
      </w:pPr>
    </w:p>
    <w:p>
      <w:pPr>
        <w:ind w:left="15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gains and losses on financial assets and financial liabilities are reported on a net basis as either financing income or financing expenses depending on whether foreign currency movements are in a net gain or net loss position.</w:t>
      </w:r>
    </w:p>
    <w:p>
      <w:pPr>
        <w:spacing w:after="0" w:line="184" w:lineRule="exact"/>
        <w:rPr>
          <w:rFonts w:ascii="Times New Roman" w:cs="Times New Roman" w:eastAsia="Times New Roman" w:hAnsi="Times New Roman"/>
          <w:sz w:val="18"/>
          <w:szCs w:val="18"/>
          <w:b w:val="1"/>
          <w:bCs w:val="1"/>
          <w:color w:val="auto"/>
        </w:rPr>
      </w:pPr>
    </w:p>
    <w:p>
      <w:pPr>
        <w:ind w:left="1520" w:hanging="500"/>
        <w:spacing w:after="0"/>
        <w:tabs>
          <w:tab w:leader="none" w:pos="1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29"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multiple tax jurisdictions.</w:t>
      </w:r>
    </w:p>
    <w:p>
      <w:pPr>
        <w:spacing w:after="0" w:line="234" w:lineRule="exact"/>
        <w:rPr>
          <w:rFonts w:ascii="Times New Roman" w:cs="Times New Roman" w:eastAsia="Times New Roman" w:hAnsi="Times New Roman"/>
          <w:sz w:val="18"/>
          <w:szCs w:val="18"/>
          <w:b w:val="1"/>
          <w:bCs w:val="1"/>
          <w:color w:val="auto"/>
        </w:rPr>
      </w:pPr>
    </w:p>
    <w:p>
      <w:pPr>
        <w:ind w:left="1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Offset of deferred tax assets and liabilities</w:t>
      </w:r>
    </w:p>
    <w:p>
      <w:pPr>
        <w:spacing w:after="0" w:line="256"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income taxes levied by the same tax authority.</w:t>
      </w:r>
    </w:p>
    <w:p>
      <w:pPr>
        <w:spacing w:after="0" w:line="1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43"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A provision for uncertain tax positions, including additional tax and interest expenses, is recognized when it is more likely than not that the Group will have to use its economic resources to pay the obligation.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520" w:hanging="500"/>
        <w:spacing w:after="0"/>
        <w:tabs>
          <w:tab w:leader="none" w:pos="1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3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Leased assets and lease liabilities</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Contracts that award the Group control over the use of a leased asset for a period of time in exchange for consideration, are accounted for as leases. Upon initial recognition, the Group recognizes a liability at the present value of the balance of future lease payments (these payments do not include certain variable lease payments), and concurrently recognizes a right-of-use asset at the same amount of the lease liability, adjusted for any prepaid or accrued lease payments or provision for impairment, plus initial direct costs incurred in respect of the lease.</w:t>
      </w:r>
    </w:p>
    <w:p>
      <w:pPr>
        <w:spacing w:after="0" w:line="185"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interest rate implicit in the Group's leases is not readily determinable, the incremental borrowing rate of the lessee is used.</w:t>
      </w:r>
    </w:p>
    <w:p>
      <w:pPr>
        <w:spacing w:after="0" w:line="24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lease payments</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Variable lease payments that depend on an index or a rate are initially measured using the index or rate existing at the commencement of the lease and are included in the measurement of the lease liability. When the cash flow of future lease payments change as the result of a change in an index or a rate, the balance of the liability is adjusted against the right-of-use asset.</w:t>
      </w:r>
    </w:p>
    <w:p>
      <w:pPr>
        <w:spacing w:after="0" w:line="17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Depreciation of right-of-use assets</w:t>
      </w:r>
    </w:p>
    <w:p>
      <w:pPr>
        <w:spacing w:after="0" w:line="256" w:lineRule="exact"/>
        <w:rPr>
          <w:sz w:val="20"/>
          <w:szCs w:val="20"/>
          <w:color w:val="auto"/>
        </w:rPr>
      </w:pPr>
    </w:p>
    <w:p>
      <w:pPr>
        <w:jc w:val="both"/>
        <w:ind w:left="1540" w:right="20"/>
        <w:spacing w:after="0" w:line="274" w:lineRule="auto"/>
        <w:rPr>
          <w:sz w:val="20"/>
          <w:szCs w:val="20"/>
          <w:color w:val="auto"/>
        </w:rPr>
      </w:pPr>
      <w:r>
        <w:rPr>
          <w:rFonts w:ascii="Times New Roman" w:cs="Times New Roman" w:eastAsia="Times New Roman" w:hAnsi="Times New Roman"/>
          <w:sz w:val="18"/>
          <w:szCs w:val="18"/>
          <w:color w:val="auto"/>
        </w:rPr>
        <w:t>After lease commencement, a right-of-use asset is measured on a cost basis less accumulated depreciation and accumulated impairment losses and is adjusted for re-measurements of the lease liability. Depreciation is calculated on a straight-line basis over the useful life or contractual lease period, whichever earlier, as follows:</w:t>
      </w:r>
    </w:p>
    <w:p>
      <w:pPr>
        <w:sectPr>
          <w:pgSz w:w="11900" w:h="16838" w:orient="portrait"/>
          <w:cols w:equalWidth="0" w:num="1">
            <w:col w:w="11240"/>
          </w:cols>
          <w:pgMar w:left="320" w:top="333" w:right="339" w:bottom="1440" w:gutter="0" w:footer="0" w:header="0"/>
        </w:sectPr>
      </w:pPr>
    </w:p>
    <w:p>
      <w:pPr>
        <w:spacing w:after="0" w:line="141" w:lineRule="exact"/>
        <w:rPr>
          <w:sz w:val="20"/>
          <w:szCs w:val="20"/>
          <w:color w:val="auto"/>
        </w:rPr>
      </w:pPr>
    </w:p>
    <w:p>
      <w:pPr>
        <w:ind w:left="15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1-8.5 years</w:t>
      </w:r>
    </w:p>
    <w:p>
      <w:pPr>
        <w:spacing w:after="0" w:line="200" w:lineRule="exact"/>
        <w:rPr>
          <w:sz w:val="20"/>
          <w:szCs w:val="20"/>
          <w:color w:val="auto"/>
        </w:rPr>
      </w:pPr>
    </w:p>
    <w:p>
      <w:pPr>
        <w:sectPr>
          <w:pgSz w:w="11900" w:h="16838" w:orient="portrait"/>
          <w:cols w:equalWidth="0" w:num="3">
            <w:col w:w="1740" w:space="80"/>
            <w:col w:w="700" w:space="680"/>
            <w:col w:w="8040"/>
          </w:cols>
          <w:pgMar w:left="320" w:top="333" w:right="339" w:bottom="1440" w:gutter="0" w:footer="0" w:header="0"/>
          <w:type w:val="continuous"/>
        </w:sectPr>
      </w:pPr>
    </w:p>
    <w:p>
      <w:pPr>
        <w:spacing w:after="0" w:line="9" w:lineRule="exact"/>
        <w:rPr>
          <w:sz w:val="20"/>
          <w:szCs w:val="20"/>
          <w:color w:val="auto"/>
        </w:rPr>
      </w:pPr>
    </w:p>
    <w:p>
      <w:pPr>
        <w:ind w:left="15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centers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1-5.5 years</w:t>
      </w:r>
    </w:p>
    <w:p>
      <w:pPr>
        <w:spacing w:after="0" w:line="211" w:lineRule="exact"/>
        <w:rPr>
          <w:sz w:val="20"/>
          <w:szCs w:val="20"/>
          <w:color w:val="auto"/>
        </w:rPr>
      </w:pPr>
    </w:p>
    <w:p>
      <w:pPr>
        <w:sectPr>
          <w:pgSz w:w="11900" w:h="16838" w:orient="portrait"/>
          <w:cols w:equalWidth="0" w:num="3">
            <w:col w:w="1740" w:space="80"/>
            <w:col w:w="900" w:space="480"/>
            <w:col w:w="8040"/>
          </w:cols>
          <w:pgMar w:left="320" w:top="333" w:right="339" w:bottom="1440" w:gutter="0" w:footer="0" w:header="0"/>
          <w:type w:val="continuous"/>
        </w:sectPr>
      </w:pPr>
    </w:p>
    <w:p>
      <w:pPr>
        <w:spacing w:after="0" w:line="21" w:lineRule="exact"/>
        <w:rPr>
          <w:sz w:val="20"/>
          <w:szCs w:val="20"/>
          <w:color w:val="auto"/>
        </w:rPr>
      </w:pPr>
    </w:p>
    <w:p>
      <w:pPr>
        <w:ind w:left="1520" w:right="3680" w:hanging="500"/>
        <w:spacing w:after="0" w:line="518" w:lineRule="auto"/>
        <w:tabs>
          <w:tab w:leader="none" w:pos="1525"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standards, amendments to standards and interpretations not yet adopted: IFRS 18 ‘Presentation and Disclosure in Financial Statements’</w:t>
      </w:r>
    </w:p>
    <w:p>
      <w:pPr>
        <w:spacing w:after="0" w:line="1" w:lineRule="exact"/>
        <w:rPr>
          <w:rFonts w:ascii="Times New Roman" w:cs="Times New Roman" w:eastAsia="Times New Roman" w:hAnsi="Times New Roman"/>
          <w:sz w:val="18"/>
          <w:szCs w:val="18"/>
          <w:b w:val="1"/>
          <w:bCs w:val="1"/>
          <w:color w:val="auto"/>
        </w:rPr>
      </w:pPr>
    </w:p>
    <w:p>
      <w:pPr>
        <w:jc w:val="both"/>
        <w:ind w:left="1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2024, the IASB issued IFRS 18 - Presentation and Disclosure in Financial Statements, which introduces new concepts relating to: (i) the structure of the statement of profit or loss, (ii) required disclosures in the financial statements for certain profit or loss performance measures that are reported outside an entity’s financial statements (management-defined performance measures), and (iii) enhanced principles on aggregation and disaggregation which apply to the primary financial statements and notes in general. The standard is effective on or after January 1, 2027. The Company is evaluating the potential impact from the adoption of this standard. The Company does not expect early adoption of this standard.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MATERIAL ACCOUNTING POLICIES (Cont.)</w:t>
      </w:r>
    </w:p>
    <w:p>
      <w:pPr>
        <w:spacing w:after="0" w:line="225" w:lineRule="exact"/>
        <w:rPr>
          <w:sz w:val="20"/>
          <w:szCs w:val="20"/>
          <w:color w:val="auto"/>
        </w:rPr>
      </w:pPr>
    </w:p>
    <w:p>
      <w:pPr>
        <w:ind w:left="1520" w:hanging="500"/>
        <w:spacing w:after="0"/>
        <w:tabs>
          <w:tab w:leader="none" w:pos="15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standards, amendments to standards and interpretations not yet adopted: (Cont.)</w:t>
      </w:r>
    </w:p>
    <w:p>
      <w:pPr>
        <w:spacing w:after="0" w:line="225" w:lineRule="exact"/>
        <w:rPr>
          <w:rFonts w:ascii="Times New Roman" w:cs="Times New Roman" w:eastAsia="Times New Roman" w:hAnsi="Times New Roman"/>
          <w:sz w:val="18"/>
          <w:szCs w:val="18"/>
          <w:b w:val="1"/>
          <w:bCs w:val="1"/>
          <w:color w:val="auto"/>
        </w:rPr>
      </w:pPr>
    </w:p>
    <w:p>
      <w:pPr>
        <w:ind w:left="1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IFRS 9 Financial Instruments and IFRS 7 Financial Instruments: Disclosures</w:t>
      </w:r>
    </w:p>
    <w:p>
      <w:pPr>
        <w:spacing w:after="0" w:line="256" w:lineRule="exact"/>
        <w:rPr>
          <w:rFonts w:ascii="Times New Roman" w:cs="Times New Roman" w:eastAsia="Times New Roman" w:hAnsi="Times New Roman"/>
          <w:sz w:val="18"/>
          <w:szCs w:val="18"/>
          <w:b w:val="1"/>
          <w:bCs w:val="1"/>
          <w:color w:val="auto"/>
        </w:rPr>
      </w:pPr>
    </w:p>
    <w:p>
      <w:pPr>
        <w:jc w:val="both"/>
        <w:ind w:left="15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30, 2024, IASB has issued amendments to IFRS 9 Financial Instruments and IFRS 7 Financial Instruments: Disclosures, which clarifies the classification of financial assets with environmental, social and corporate governance (ESG) and similar features, derecognition of financial liability settled through electronic payment systems and also introduces additional disclosure requirements to enhance transparency for investors regarding investments in equity instruments designated at fair value through other comprehensive income and financial instruments with contingent features. The effective date for adoption of this amendment is annual reporting periods beginning on or after January 1, 2026, although early adoption is permitted. The Company has assessed the implications of the amendments on its financial statements and concluded that the adoption of the amendments is not expected to have a material impact in its financial statements.</w:t>
      </w:r>
    </w:p>
    <w:p>
      <w:pPr>
        <w:spacing w:after="0" w:line="19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239" w:lineRule="exact"/>
        <w:rPr>
          <w:sz w:val="20"/>
          <w:szCs w:val="20"/>
          <w:color w:val="auto"/>
        </w:rPr>
      </w:pPr>
    </w:p>
    <w:p>
      <w:pPr>
        <w:ind w:left="1520" w:hanging="500"/>
        <w:spacing w:after="0"/>
        <w:tabs>
          <w:tab w:leader="none" w:pos="1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regarding the tax environment of the Israeli companies:</w:t>
      </w:r>
    </w:p>
    <w:p>
      <w:pPr>
        <w:spacing w:after="0" w:line="229"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tax rate</w:t>
      </w:r>
    </w:p>
    <w:p>
      <w:pPr>
        <w:spacing w:after="0" w:line="238" w:lineRule="exact"/>
        <w:rPr>
          <w:rFonts w:ascii="Times New Roman" w:cs="Times New Roman" w:eastAsia="Times New Roman" w:hAnsi="Times New Roman"/>
          <w:sz w:val="18"/>
          <w:szCs w:val="18"/>
          <w:color w:val="auto"/>
        </w:rPr>
      </w:pPr>
    </w:p>
    <w:p>
      <w:pPr>
        <w:ind w:left="20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of the Israeli companies is subject to the Israeli corporate tax at the rate of 23% in the years 2025, 2024 and 2023.</w:t>
      </w:r>
    </w:p>
    <w:p>
      <w:pPr>
        <w:spacing w:after="0" w:line="162"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under the Law for the Encouragement of Capital Investments (Investment Law)</w:t>
      </w:r>
    </w:p>
    <w:p>
      <w:pPr>
        <w:spacing w:after="0" w:line="225" w:lineRule="exact"/>
        <w:rPr>
          <w:rFonts w:ascii="Times New Roman" w:cs="Times New Roman" w:eastAsia="Times New Roman" w:hAnsi="Times New Roman"/>
          <w:sz w:val="18"/>
          <w:szCs w:val="18"/>
          <w:color w:val="auto"/>
        </w:rPr>
      </w:pPr>
    </w:p>
    <w:p>
      <w:pPr>
        <w:jc w:val="both"/>
        <w:ind w:left="20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in Israel are eligible for benefit of Industrial Enterprise and Preferred Technological Enterprise. Such statuses and related benefits do not require confirmation from the ITA. However, the Company has applied for and received Tax Rulings confirming the Company meets the requirements for such statuses, the most recent one received on December 31, 2025 and effective through December 31, 2027. Preferred technological income that meets the conditions required in the law, will be subject to a reduced Israeli corporate tax rate of 12%.</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INCOME TAX (Cont.)</w:t>
      </w:r>
    </w:p>
    <w:p>
      <w:pPr>
        <w:spacing w:after="0" w:line="225" w:lineRule="exact"/>
        <w:rPr>
          <w:sz w:val="20"/>
          <w:szCs w:val="20"/>
          <w:color w:val="auto"/>
        </w:rPr>
      </w:pPr>
    </w:p>
    <w:p>
      <w:pPr>
        <w:ind w:left="1520" w:hanging="500"/>
        <w:spacing w:after="0"/>
        <w:tabs>
          <w:tab w:leader="none" w:pos="15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regarding the tax environment of the Israeli companies: (Cont.)</w:t>
      </w:r>
    </w:p>
    <w:p>
      <w:pPr>
        <w:spacing w:after="0" w:line="242"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losses in Israel</w:t>
      </w:r>
    </w:p>
    <w:p>
      <w:pPr>
        <w:spacing w:after="0" w:line="2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net operating loss carryforwards ("NOLs") are approximately USD 25 million (2024: USD 27.8</w:t>
      </w:r>
    </w:p>
    <w:p>
      <w:pPr>
        <w:spacing w:after="0" w:line="27" w:lineRule="exact"/>
        <w:rPr>
          <w:rFonts w:ascii="Times New Roman" w:cs="Times New Roman" w:eastAsia="Times New Roman" w:hAnsi="Times New Roman"/>
          <w:sz w:val="18"/>
          <w:szCs w:val="18"/>
          <w:color w:val="auto"/>
        </w:rPr>
      </w:pPr>
    </w:p>
    <w:p>
      <w:pPr>
        <w:ind w:left="2040" w:right="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and the Capital Loss carryforward is approximately USD 0.5 million (2024: USD 2.8 million). The losses carryforward can be utilized indefinitely under Israeli tax laws.</w:t>
      </w:r>
    </w:p>
    <w:p>
      <w:pPr>
        <w:spacing w:after="0" w:line="162"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regarding the tax environment of the non-Israeli companies:</w:t>
      </w:r>
    </w:p>
    <w:p>
      <w:pPr>
        <w:spacing w:after="0" w:line="242" w:lineRule="exact"/>
        <w:rPr>
          <w:rFonts w:ascii="Times New Roman" w:cs="Times New Roman" w:eastAsia="Times New Roman" w:hAnsi="Times New Roman"/>
          <w:sz w:val="18"/>
          <w:szCs w:val="18"/>
          <w:b w:val="1"/>
          <w:bCs w:val="1"/>
          <w:color w:val="auto"/>
        </w:rPr>
      </w:pPr>
    </w:p>
    <w:p>
      <w:pPr>
        <w:ind w:left="1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Non-Israeli subsidiaries are taxed according to the tax laws in their countries of residence as reported in their statutory financial statement prepared under local accounting regulations.</w:t>
      </w:r>
    </w:p>
    <w:p>
      <w:pPr>
        <w:spacing w:after="0" w:line="188"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outside of the US</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NOLs are approximately USD 20.1 million (2024: USD 18.7 million).</w:t>
      </w:r>
    </w:p>
    <w:p>
      <w:pPr>
        <w:spacing w:after="0" w:line="252"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operations</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submits a US federal consolidated tax return for all of its US incorporated entities.</w:t>
      </w:r>
    </w:p>
    <w:p>
      <w:pPr>
        <w:spacing w:after="0" w:line="238" w:lineRule="exact"/>
        <w:rPr>
          <w:rFonts w:ascii="Times New Roman" w:cs="Times New Roman" w:eastAsia="Times New Roman" w:hAnsi="Times New Roman"/>
          <w:sz w:val="18"/>
          <w:szCs w:val="18"/>
          <w:color w:val="auto"/>
        </w:rPr>
      </w:pPr>
    </w:p>
    <w:p>
      <w:pPr>
        <w:jc w:val="both"/>
        <w:ind w:left="20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incurred NOLs for U.S. federal income tax purposes. The utilization of these NOL carryforwards may be subject to an annual limitation under Section 382 of the Internal Revenue Code due to ownership changes that have occurred or may occur in the future. As a result, a portion of the Company’s NOLs may expire unused.</w:t>
      </w:r>
    </w:p>
    <w:p>
      <w:pPr>
        <w:spacing w:after="0" w:line="177" w:lineRule="exact"/>
        <w:rPr>
          <w:rFonts w:ascii="Times New Roman" w:cs="Times New Roman" w:eastAsia="Times New Roman" w:hAnsi="Times New Roman"/>
          <w:sz w:val="18"/>
          <w:szCs w:val="18"/>
          <w:color w:val="auto"/>
        </w:rPr>
      </w:pPr>
    </w:p>
    <w:p>
      <w:pPr>
        <w:jc w:val="both"/>
        <w:ind w:left="20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related to U.S. net operating loss carryforwards have not been fully recognized, as their utilization is subject to limitations under Section 382 of the Internal Revenue Code following ownership changes, and management cannot conclude that realization is probable.</w:t>
      </w:r>
    </w:p>
    <w:p>
      <w:pPr>
        <w:spacing w:after="0" w:line="195" w:lineRule="exact"/>
        <w:rPr>
          <w:rFonts w:ascii="Times New Roman" w:cs="Times New Roman" w:eastAsia="Times New Roman" w:hAnsi="Times New Roman"/>
          <w:sz w:val="18"/>
          <w:szCs w:val="18"/>
          <w:color w:val="auto"/>
        </w:rPr>
      </w:pPr>
    </w:p>
    <w:p>
      <w:pPr>
        <w:jc w:val="both"/>
        <w:ind w:left="20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4, 2025, the U.S. government enacted the One Big Beautiful Bill Act (“OBBB”), which made permanent and modified certain provisions of the Tax Cuts and Jobs Act that was signed into law on December 22, 2017, and introduced additional changes to U.S. federal corporate taxation.</w:t>
      </w:r>
    </w:p>
    <w:p>
      <w:pPr>
        <w:spacing w:after="0" w:line="182" w:lineRule="exact"/>
        <w:rPr>
          <w:rFonts w:ascii="Times New Roman" w:cs="Times New Roman" w:eastAsia="Times New Roman" w:hAnsi="Times New Roman"/>
          <w:sz w:val="18"/>
          <w:szCs w:val="18"/>
          <w:color w:val="auto"/>
        </w:rPr>
      </w:pPr>
    </w:p>
    <w:p>
      <w:pPr>
        <w:jc w:val="both"/>
        <w:ind w:left="20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IAS 12, the Group recognized the effects of the enacted tax law changes in the period in which the legislation was enacted. The impact of the OBBB primarily relates to the remeasurement of deferred tax assets and liabilities, based on the tax rates and provisions expected to apply when the underlying temporary differences reverse.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INCOME TAX (Cont.)</w:t>
      </w:r>
    </w:p>
    <w:p>
      <w:pPr>
        <w:spacing w:after="0" w:line="225" w:lineRule="exact"/>
        <w:rPr>
          <w:sz w:val="20"/>
          <w:szCs w:val="20"/>
          <w:color w:val="auto"/>
        </w:rPr>
      </w:pPr>
    </w:p>
    <w:p>
      <w:pPr>
        <w:ind w:left="1520" w:hanging="500"/>
        <w:spacing w:after="0"/>
        <w:tabs>
          <w:tab w:leader="none" w:pos="1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regarding the tax environment of the non-Israeli companies: (Cont.)</w:t>
      </w:r>
    </w:p>
    <w:p>
      <w:pPr>
        <w:spacing w:after="0" w:line="229" w:lineRule="exact"/>
        <w:rPr>
          <w:sz w:val="20"/>
          <w:szCs w:val="20"/>
          <w:color w:val="auto"/>
        </w:rPr>
      </w:pPr>
    </w:p>
    <w:p>
      <w:pPr>
        <w:jc w:val="both"/>
        <w:ind w:left="2040"/>
        <w:spacing w:after="0" w:line="271" w:lineRule="auto"/>
        <w:rPr>
          <w:sz w:val="20"/>
          <w:szCs w:val="20"/>
          <w:color w:val="auto"/>
        </w:rPr>
      </w:pPr>
      <w:r>
        <w:rPr>
          <w:rFonts w:ascii="Times New Roman" w:cs="Times New Roman" w:eastAsia="Times New Roman" w:hAnsi="Times New Roman"/>
          <w:sz w:val="18"/>
          <w:szCs w:val="18"/>
          <w:color w:val="auto"/>
        </w:rPr>
        <w:t>The OBBB preserved the U.S. federal corporate income tax rate at 21%, reinstated full expensing of domestic research and experimental expenditures, restored 100% bonus depreciation for qualifying property, and modified limitations on interest deductibility under Section 163(j). Certain international tax provisions, including those related to GILTI and FDII, were also amended, with varying effective dates.</w:t>
      </w:r>
    </w:p>
    <w:p>
      <w:pPr>
        <w:spacing w:after="0" w:line="199" w:lineRule="exact"/>
        <w:rPr>
          <w:sz w:val="20"/>
          <w:szCs w:val="20"/>
          <w:color w:val="auto"/>
        </w:rPr>
      </w:pPr>
    </w:p>
    <w:p>
      <w:pPr>
        <w:jc w:val="both"/>
        <w:ind w:left="2040" w:right="20"/>
        <w:spacing w:after="0" w:line="274" w:lineRule="auto"/>
        <w:rPr>
          <w:sz w:val="20"/>
          <w:szCs w:val="20"/>
          <w:color w:val="auto"/>
        </w:rPr>
      </w:pPr>
      <w:r>
        <w:rPr>
          <w:rFonts w:ascii="Times New Roman" w:cs="Times New Roman" w:eastAsia="Times New Roman" w:hAnsi="Times New Roman"/>
          <w:sz w:val="18"/>
          <w:szCs w:val="18"/>
          <w:color w:val="auto"/>
        </w:rPr>
        <w:t>As of December 31, 2025, the U.S. federal NOLs carryforwards attributable to prior acquisitions amounted to approximately USD 24.5 million (2024: USD 51.6 million) which will expire in 2032, and an additional approximately USD 256.6 million (2024: USD 265.9 million), available for utilization through 2074.</w:t>
      </w:r>
    </w:p>
    <w:p>
      <w:pPr>
        <w:spacing w:after="0" w:line="182" w:lineRule="exact"/>
        <w:rPr>
          <w:sz w:val="20"/>
          <w:szCs w:val="20"/>
          <w:color w:val="auto"/>
        </w:rPr>
      </w:pPr>
    </w:p>
    <w:p>
      <w:pPr>
        <w:jc w:val="both"/>
        <w:ind w:left="2040"/>
        <w:spacing w:after="0" w:line="297" w:lineRule="auto"/>
        <w:rPr>
          <w:sz w:val="20"/>
          <w:szCs w:val="20"/>
          <w:color w:val="auto"/>
        </w:rPr>
      </w:pPr>
      <w:r>
        <w:rPr>
          <w:rFonts w:ascii="Times New Roman" w:cs="Times New Roman" w:eastAsia="Times New Roman" w:hAnsi="Times New Roman"/>
          <w:sz w:val="18"/>
          <w:szCs w:val="18"/>
          <w:color w:val="auto"/>
        </w:rPr>
        <w:t>As of December 31, 2025, the Capital Loss carryforward is approximately USD 29.5 million (2024: USD 29.5 million). Capital losses can be carried back for three years, and forward for five years, and can be subject to several restrictions.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c.</w:t>
            </w:r>
          </w:p>
        </w:tc>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Composition of income tax benefit:</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23"/>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7"/>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USD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9"/>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expense (income)</w:t>
            </w: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(2,331)</w:t>
            </w:r>
          </w:p>
        </w:tc>
        <w:tc>
          <w:tcPr>
            <w:tcW w:w="980" w:type="dxa"/>
            <w:vAlign w:val="bottom"/>
          </w:tcPr>
          <w:p>
            <w:pPr>
              <w:spacing w:after="0"/>
              <w:rPr>
                <w:sz w:val="20"/>
                <w:szCs w:val="20"/>
                <w:color w:val="auto"/>
              </w:rPr>
            </w:pPr>
          </w:p>
        </w:tc>
      </w:tr>
      <w:tr>
        <w:trPr>
          <w:trHeight w:val="236"/>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Previous year</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2,282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r>
      <w:tr>
        <w:trPr>
          <w:trHeight w:val="237"/>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6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shd w:val="clear" w:color="auto" w:fill="CCEEFF"/>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 (income)</w:t>
            </w:r>
          </w:p>
        </w:tc>
        <w:tc>
          <w:tcPr>
            <w:tcW w:w="2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Creation and reversal of temporary differences</w:t>
            </w:r>
          </w:p>
        </w:tc>
        <w:tc>
          <w:tcPr>
            <w:tcW w:w="20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4,834</w:t>
            </w:r>
          </w:p>
        </w:tc>
        <w:tc>
          <w:tcPr>
            <w:tcW w:w="98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expenses</w:t>
            </w:r>
          </w:p>
        </w:tc>
        <w:tc>
          <w:tcPr>
            <w:tcW w:w="20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2,503</w:t>
            </w:r>
          </w:p>
        </w:tc>
        <w:tc>
          <w:tcPr>
            <w:tcW w:w="98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5"/>
        </w:trPr>
        <w:tc>
          <w:tcPr>
            <w:tcW w:w="1340" w:type="dxa"/>
            <w:vAlign w:val="bottom"/>
          </w:tcPr>
          <w:p>
            <w:pPr>
              <w:spacing w:after="0"/>
              <w:rPr>
                <w:sz w:val="24"/>
                <w:szCs w:val="24"/>
                <w:color w:val="auto"/>
              </w:rPr>
            </w:pPr>
          </w:p>
        </w:tc>
        <w:tc>
          <w:tcPr>
            <w:tcW w:w="68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The following are the domestic and foreign components of the Group’s income taxes: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7"/>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7"/>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86"/>
              </w:rPr>
              <w:t>USD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000" w:type="dxa"/>
            <w:vAlign w:val="bottom"/>
            <w:gridSpan w:val="4"/>
          </w:tcPr>
          <w:p>
            <w:pPr>
              <w:spacing w:after="0"/>
              <w:rPr>
                <w:sz w:val="18"/>
                <w:szCs w:val="18"/>
                <w:color w:val="auto"/>
              </w:rPr>
            </w:pPr>
          </w:p>
        </w:tc>
        <w:tc>
          <w:tcPr>
            <w:tcW w:w="1140" w:type="dxa"/>
            <w:vAlign w:val="bottom"/>
            <w:gridSpan w:val="3"/>
          </w:tcPr>
          <w:p>
            <w:pPr>
              <w:spacing w:after="0"/>
              <w:rPr>
                <w:sz w:val="18"/>
                <w:szCs w:val="18"/>
                <w:color w:val="auto"/>
              </w:rPr>
            </w:pPr>
          </w:p>
        </w:tc>
        <w:tc>
          <w:tcPr>
            <w:tcW w:w="9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(5,352)</w:t>
            </w:r>
          </w:p>
        </w:tc>
        <w:tc>
          <w:tcPr>
            <w:tcW w:w="980" w:type="dxa"/>
            <w:vAlign w:val="bottom"/>
          </w:tcPr>
          <w:p>
            <w:pPr>
              <w:spacing w:after="0"/>
              <w:rPr>
                <w:sz w:val="19"/>
                <w:szCs w:val="19"/>
                <w:color w:val="auto"/>
              </w:rPr>
            </w:pPr>
          </w:p>
        </w:tc>
      </w:tr>
      <w:tr>
        <w:trPr>
          <w:trHeight w:val="229"/>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4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8,712</w:t>
            </w:r>
          </w:p>
        </w:tc>
        <w:tc>
          <w:tcPr>
            <w:tcW w:w="980" w:type="dxa"/>
            <w:vAlign w:val="bottom"/>
          </w:tcPr>
          <w:p>
            <w:pPr>
              <w:spacing w:after="0"/>
              <w:rPr>
                <w:sz w:val="19"/>
                <w:szCs w:val="19"/>
                <w:color w:val="auto"/>
              </w:rPr>
            </w:pPr>
          </w:p>
        </w:tc>
      </w:tr>
      <w:tr>
        <w:trPr>
          <w:trHeight w:val="237"/>
        </w:trPr>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c>
          <w:tcPr>
            <w:tcW w:w="98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20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2,503</w:t>
            </w:r>
          </w:p>
        </w:tc>
        <w:tc>
          <w:tcPr>
            <w:tcW w:w="980" w:type="dxa"/>
            <w:vAlign w:val="bottom"/>
          </w:tcPr>
          <w:p>
            <w:pPr>
              <w:spacing w:after="0"/>
              <w:rPr>
                <w:sz w:val="23"/>
                <w:szCs w:val="23"/>
                <w:color w:val="auto"/>
              </w:rPr>
            </w:pPr>
          </w:p>
        </w:tc>
      </w:tr>
      <w:tr>
        <w:trPr>
          <w:trHeight w:val="615"/>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 - 21</w:t>
            </w: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gridSpan w:val="2"/>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80" w:type="dxa"/>
            <w:vAlign w:val="bottom"/>
          </w:tcPr>
          <w:p>
            <w:pPr>
              <w:spacing w:after="0"/>
              <w:rPr>
                <w:sz w:val="24"/>
                <w:szCs w:val="24"/>
                <w:color w:val="auto"/>
              </w:rPr>
            </w:pPr>
          </w:p>
        </w:tc>
      </w:tr>
      <w:tr>
        <w:trPr>
          <w:trHeight w:val="75"/>
        </w:trPr>
        <w:tc>
          <w:tcPr>
            <w:tcW w:w="13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4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INCOME TAX (Cont.)</w:t>
      </w:r>
    </w:p>
    <w:p>
      <w:pPr>
        <w:spacing w:after="0" w:line="225" w:lineRule="exact"/>
        <w:rPr>
          <w:sz w:val="20"/>
          <w:szCs w:val="20"/>
          <w:color w:val="auto"/>
        </w:rPr>
      </w:pPr>
    </w:p>
    <w:p>
      <w:pPr>
        <w:ind w:left="1520" w:hanging="500"/>
        <w:spacing w:after="0"/>
        <w:tabs>
          <w:tab w:leader="none" w:pos="1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between the theoretical tax on the pre-tax profit (loss) and the tax expense:</w:t>
      </w:r>
    </w:p>
    <w:p>
      <w:pPr>
        <w:spacing w:after="0" w:line="225"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9"/>
              </w:rPr>
              <w:t>USD thousands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4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(Loss) before taxes on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(18,984)</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400" w:type="dxa"/>
            <w:vAlign w:val="bottom"/>
            <w:tcBorders>
              <w:top w:val="single" w:sz="8" w:color="CCEEFF"/>
            </w:tcBorders>
            <w:gridSpan w:val="2"/>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calculated according to the Company’s domestic tax rate</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4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using the Company's domestic tax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8,862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(4,366)</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4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tax (tax saving) in respect of:</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expenses net of non- taxable income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3,329</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Difference between measurement basis of income/expenses for tax</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purposes and measurement basis of income/expenses for financial</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reporting purposes</w:t>
            </w: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(2,337)</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reduced tax rate in Israel for Preferred Enterprise status</w:t>
            </w:r>
          </w:p>
        </w:tc>
        <w:tc>
          <w:tcPr>
            <w:tcW w:w="1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(815)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1,394</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previous tax assessments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2,282</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Recognition of previously unrecognized tax losses and benefits</w:t>
            </w:r>
          </w:p>
        </w:tc>
        <w:tc>
          <w:tcPr>
            <w:tcW w:w="10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(1,922)</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temporary differences for which deferred taxes are not</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recognized</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different tax rates in foreign jurisdictions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(2,046)</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2,863</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400" w:type="dxa"/>
            <w:vAlign w:val="bottom"/>
            <w:gridSpan w:val="2"/>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12,216</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5400" w:type="dxa"/>
            <w:vAlign w:val="bottom"/>
            <w:gridSpan w:val="2"/>
            <w:shd w:val="clear" w:color="auto" w:fill="CCEEFF"/>
          </w:tcPr>
          <w:p>
            <w:pPr>
              <w:spacing w:after="0"/>
              <w:rPr>
                <w:sz w:val="18"/>
                <w:szCs w:val="18"/>
                <w:color w:val="auto"/>
              </w:rPr>
            </w:pPr>
          </w:p>
        </w:tc>
        <w:tc>
          <w:tcPr>
            <w:tcW w:w="1080" w:type="dxa"/>
            <w:vAlign w:val="bottom"/>
            <w:gridSpan w:val="3"/>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including non- deductible share-based compensation expenses.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780" w:type="dxa"/>
            <w:vAlign w:val="bottom"/>
            <w:gridSpan w:val="2"/>
            <w:vMerge w:val="continue"/>
          </w:tcPr>
          <w:p>
            <w:pPr>
              <w:spacing w:after="0"/>
              <w:rPr>
                <w:sz w:val="24"/>
                <w:szCs w:val="24"/>
                <w:color w:val="auto"/>
              </w:rPr>
            </w:pPr>
          </w:p>
        </w:tc>
        <w:tc>
          <w:tcPr>
            <w:tcW w:w="52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F - 22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INCOME TAX (Cont.)</w:t>
      </w:r>
    </w:p>
    <w:p>
      <w:pPr>
        <w:spacing w:after="0" w:line="225" w:lineRule="exact"/>
        <w:rPr>
          <w:sz w:val="20"/>
          <w:szCs w:val="20"/>
          <w:color w:val="auto"/>
        </w:rPr>
      </w:pPr>
    </w:p>
    <w:p>
      <w:pPr>
        <w:ind w:left="1520" w:hanging="500"/>
        <w:spacing w:after="0"/>
        <w:tabs>
          <w:tab w:leader="none" w:pos="1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assets and liabilities:</w:t>
      </w:r>
    </w:p>
    <w:p>
      <w:pPr>
        <w:spacing w:after="0" w:line="229"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are presented below:</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Assets and</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R&amp;D</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Carryforward</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340" w:type="dxa"/>
            <w:vAlign w:val="bottom"/>
          </w:tcPr>
          <w:p>
            <w:pPr>
              <w:spacing w:after="0"/>
              <w:rPr>
                <w:sz w:val="22"/>
                <w:szCs w:val="2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Debts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USD</w:t>
            </w:r>
          </w:p>
        </w:tc>
        <w:tc>
          <w:tcPr>
            <w:tcW w:w="16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w:t>
            </w: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8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(liability)</w:t>
            </w: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10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(12,129)</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3,348</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15,932</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(808)</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3,295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2,001</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11,639</w:t>
            </w:r>
          </w:p>
        </w:tc>
        <w:tc>
          <w:tcPr>
            <w:tcW w:w="0" w:type="dxa"/>
            <w:vAlign w:val="bottom"/>
          </w:tcPr>
          <w:p>
            <w:pPr>
              <w:spacing w:after="0"/>
              <w:rPr>
                <w:sz w:val="1"/>
                <w:szCs w:val="1"/>
                <w:color w:val="auto"/>
              </w:rPr>
            </w:pPr>
          </w:p>
        </w:tc>
      </w:tr>
      <w:tr>
        <w:trPr>
          <w:trHeight w:val="23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right w:val="single" w:sz="8" w:color="CCEEFF"/>
            </w:tcBorders>
            <w:gridSpan w:val="2"/>
            <w:vMerge w:val="continue"/>
            <w:shd w:val="clear" w:color="auto" w:fill="CCEEFF"/>
          </w:tcPr>
          <w:p>
            <w:pPr>
              <w:spacing w:after="0"/>
              <w:rPr>
                <w:sz w:val="20"/>
                <w:szCs w:val="20"/>
                <w:color w:val="auto"/>
              </w:rPr>
            </w:pPr>
          </w:p>
        </w:tc>
        <w:tc>
          <w:tcPr>
            <w:tcW w:w="1280" w:type="dxa"/>
            <w:vAlign w:val="bottom"/>
            <w:tcBorders>
              <w:right w:val="single" w:sz="8" w:color="CCEEFF"/>
            </w:tcBorders>
            <w:gridSpan w:val="2"/>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Changes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2,166</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profit or Loss</w:t>
            </w:r>
          </w:p>
        </w:tc>
        <w:tc>
          <w:tcPr>
            <w:tcW w:w="100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w:t>
            </w: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w:t>
            </w:r>
          </w:p>
        </w:tc>
        <w:tc>
          <w:tcPr>
            <w:tcW w:w="10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1,021</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4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000" w:type="dxa"/>
            <w:vAlign w:val="bottom"/>
            <w:tcBorders>
              <w:right w:val="single" w:sz="8" w:color="CCEEFF"/>
            </w:tcBorders>
            <w:gridSpan w:val="2"/>
            <w:vMerge w:val="continue"/>
            <w:shd w:val="clear" w:color="auto" w:fill="CCEEFF"/>
          </w:tcPr>
          <w:p>
            <w:pPr>
              <w:spacing w:after="0"/>
              <w:rPr>
                <w:sz w:val="20"/>
                <w:szCs w:val="20"/>
                <w:color w:val="auto"/>
              </w:rPr>
            </w:pPr>
          </w:p>
        </w:tc>
        <w:tc>
          <w:tcPr>
            <w:tcW w:w="1280" w:type="dxa"/>
            <w:vAlign w:val="bottom"/>
            <w:tcBorders>
              <w:right w:val="single" w:sz="8" w:color="CCEEFF"/>
            </w:tcBorders>
            <w:gridSpan w:val="2"/>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w:t>
            </w: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(liability)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(10,143)</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6,535</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15,219</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3,940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1,843</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17,355</w:t>
            </w:r>
          </w:p>
        </w:tc>
        <w:tc>
          <w:tcPr>
            <w:tcW w:w="0" w:type="dxa"/>
            <w:vAlign w:val="bottom"/>
          </w:tcPr>
          <w:p>
            <w:pPr>
              <w:spacing w:after="0"/>
              <w:rPr>
                <w:sz w:val="1"/>
                <w:szCs w:val="1"/>
                <w:color w:val="auto"/>
              </w:rPr>
            </w:pPr>
          </w:p>
        </w:tc>
      </w:tr>
      <w:tr>
        <w:trPr>
          <w:trHeight w:val="245"/>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0" w:type="dxa"/>
            <w:vAlign w:val="bottom"/>
            <w:gridSpan w:val="2"/>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w:t>
            </w: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w:t>
            </w:r>
          </w:p>
        </w:tc>
        <w:tc>
          <w:tcPr>
            <w:tcW w:w="10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(3,405)</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or Loss</w:t>
            </w:r>
          </w:p>
        </w:tc>
        <w:tc>
          <w:tcPr>
            <w:tcW w:w="1000" w:type="dxa"/>
            <w:vAlign w:val="bottom"/>
            <w:tcBorders>
              <w:right w:val="single" w:sz="8" w:color="CCEEFF"/>
            </w:tcBorders>
            <w:gridSpan w:val="2"/>
            <w:vMerge w:val="continue"/>
            <w:shd w:val="clear" w:color="auto" w:fill="CCEEFF"/>
          </w:tcPr>
          <w:p>
            <w:pPr>
              <w:spacing w:after="0"/>
              <w:rPr>
                <w:sz w:val="20"/>
                <w:szCs w:val="20"/>
                <w:color w:val="auto"/>
              </w:rPr>
            </w:pPr>
          </w:p>
        </w:tc>
        <w:tc>
          <w:tcPr>
            <w:tcW w:w="1280" w:type="dxa"/>
            <w:vAlign w:val="bottom"/>
            <w:tcBorders>
              <w:right w:val="single" w:sz="8" w:color="CCEEFF"/>
            </w:tcBorders>
            <w:gridSpan w:val="2"/>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Changes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w:t>
            </w: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8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(liability)</w:t>
            </w: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December31,</w:t>
            </w:r>
          </w:p>
        </w:tc>
        <w:tc>
          <w:tcPr>
            <w:tcW w:w="10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(12,633)</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5,993</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15,970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(3,422)</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1,288</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8,892</w:t>
            </w:r>
          </w:p>
        </w:tc>
        <w:tc>
          <w:tcPr>
            <w:tcW w:w="0" w:type="dxa"/>
            <w:vAlign w:val="bottom"/>
          </w:tcPr>
          <w:p>
            <w:pPr>
              <w:spacing w:after="0"/>
              <w:rPr>
                <w:sz w:val="1"/>
                <w:szCs w:val="1"/>
                <w:color w:val="auto"/>
              </w:rPr>
            </w:pPr>
          </w:p>
        </w:tc>
      </w:tr>
      <w:tr>
        <w:trPr>
          <w:trHeight w:val="259"/>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right w:val="single" w:sz="8" w:color="CCEEFF"/>
            </w:tcBorders>
            <w:gridSpan w:val="2"/>
            <w:vMerge w:val="continue"/>
            <w:shd w:val="clear" w:color="auto" w:fill="CCEEFF"/>
          </w:tcPr>
          <w:p>
            <w:pPr>
              <w:spacing w:after="0"/>
              <w:rPr>
                <w:sz w:val="22"/>
                <w:szCs w:val="22"/>
                <w:color w:val="auto"/>
              </w:rPr>
            </w:pPr>
          </w:p>
        </w:tc>
        <w:tc>
          <w:tcPr>
            <w:tcW w:w="1280" w:type="dxa"/>
            <w:vAlign w:val="bottom"/>
            <w:tcBorders>
              <w:right w:val="single" w:sz="8" w:color="CCEEFF"/>
            </w:tcBorders>
            <w:gridSpan w:val="2"/>
            <w:vMerge w:val="continue"/>
            <w:shd w:val="clear" w:color="auto" w:fill="CCEEFF"/>
          </w:tcPr>
          <w:p>
            <w:pPr>
              <w:spacing w:after="0"/>
              <w:rPr>
                <w:sz w:val="22"/>
                <w:szCs w:val="22"/>
                <w:color w:val="auto"/>
              </w:rPr>
            </w:pPr>
          </w:p>
        </w:tc>
        <w:tc>
          <w:tcPr>
            <w:tcW w:w="1240" w:type="dxa"/>
            <w:vAlign w:val="bottom"/>
            <w:gridSpan w:val="2"/>
            <w:vMerge w:val="continue"/>
            <w:shd w:val="clear" w:color="auto" w:fill="CCEEFF"/>
          </w:tcPr>
          <w:p>
            <w:pPr>
              <w:spacing w:after="0"/>
              <w:rPr>
                <w:sz w:val="22"/>
                <w:szCs w:val="22"/>
                <w:color w:val="auto"/>
              </w:rPr>
            </w:pPr>
          </w:p>
        </w:tc>
        <w:tc>
          <w:tcPr>
            <w:tcW w:w="960" w:type="dxa"/>
            <w:vAlign w:val="bottom"/>
            <w:gridSpan w:val="2"/>
            <w:vMerge w:val="continue"/>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960" w:type="dxa"/>
            <w:vAlign w:val="bottom"/>
            <w:gridSpan w:val="2"/>
            <w:vMerge w:val="continue"/>
            <w:shd w:val="clear" w:color="auto" w:fill="CCEEFF"/>
          </w:tcPr>
          <w:p>
            <w:pPr>
              <w:spacing w:after="0"/>
              <w:rPr>
                <w:sz w:val="22"/>
                <w:szCs w:val="22"/>
                <w:color w:val="auto"/>
              </w:rPr>
            </w:pPr>
          </w:p>
        </w:tc>
        <w:tc>
          <w:tcPr>
            <w:tcW w:w="8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As of each reporting date, the Company’s management considers new evidence, both positive and negative, that could impact management’s view with regard to future realization of deferred tax assets.</w:t>
      </w:r>
    </w:p>
    <w:p>
      <w:pPr>
        <w:spacing w:after="0" w:line="159" w:lineRule="exact"/>
        <w:rPr>
          <w:sz w:val="20"/>
          <w:szCs w:val="20"/>
          <w:color w:val="auto"/>
        </w:rPr>
      </w:pPr>
    </w:p>
    <w:p>
      <w:pPr>
        <w:ind w:left="1520" w:hanging="500"/>
        <w:spacing w:after="0"/>
        <w:tabs>
          <w:tab w:leader="none" w:pos="1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positions:</w:t>
      </w:r>
    </w:p>
    <w:p>
      <w:pPr>
        <w:spacing w:after="0" w:line="242"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Company has gross unrecognized tax benefits of approximately USD 4,166 thousand and USD 6,260 thousand, respectively. The Company classifies liabilities for unrecognized tax benefits in current tax.</w:t>
      </w:r>
    </w:p>
    <w:p>
      <w:pPr>
        <w:spacing w:after="0" w:line="158" w:lineRule="exact"/>
        <w:rPr>
          <w:rFonts w:ascii="Times New Roman" w:cs="Times New Roman" w:eastAsia="Times New Roman" w:hAnsi="Times New Roman"/>
          <w:sz w:val="18"/>
          <w:szCs w:val="18"/>
          <w:b w:val="1"/>
          <w:bCs w:val="1"/>
          <w:color w:val="auto"/>
        </w:rPr>
      </w:pPr>
    </w:p>
    <w:p>
      <w:pPr>
        <w:ind w:left="1520" w:hanging="500"/>
        <w:spacing w:after="0"/>
        <w:tabs>
          <w:tab w:leader="none" w:pos="1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w:t>
      </w:r>
    </w:p>
    <w:p>
      <w:pPr>
        <w:spacing w:after="0" w:line="24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assessments of the Company in Israel through (and including) 2022 is considered to be final.</w:t>
      </w:r>
    </w:p>
    <w:p>
      <w:pPr>
        <w:spacing w:after="0" w:line="238" w:lineRule="exact"/>
        <w:rPr>
          <w:rFonts w:ascii="Times New Roman" w:cs="Times New Roman" w:eastAsia="Times New Roman" w:hAnsi="Times New Roman"/>
          <w:sz w:val="18"/>
          <w:szCs w:val="18"/>
          <w:b w:val="1"/>
          <w:bCs w:val="1"/>
          <w:color w:val="auto"/>
        </w:rPr>
      </w:pPr>
    </w:p>
    <w:p>
      <w:pPr>
        <w:jc w:val="both"/>
        <w:ind w:left="1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federal income tax returns filed by the Company's U.S. subsidiaries for the tax years up to and including 2020 are no longer subject to general audit. 2021 tax returns are no longer subject to general audit, with the exception of an amendment that was made and which is subject to examination within the relevant statute of limitations from the date of the amendment. To the extent the Company or its subsidiaries generated net operating losses or tax credits in closed tax years, future use of the net operating loss or tax credit carry forward balance would be subject to examination within the relevant statute of limitations for the year in which it was utilized.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2" w:name="page133"/>
    <w:bookmarkEnd w:id="132"/>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FIXED ASSETS, NET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Office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Computers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furniture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Servers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USD</w:t>
            </w:r>
          </w:p>
        </w:tc>
        <w:tc>
          <w:tcPr>
            <w:tcW w:w="16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41,925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44,443</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6,473</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47,019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49,329</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13,740</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70"/>
        </w:trPr>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58,540</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1,719</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61,174</w:t>
            </w:r>
          </w:p>
        </w:tc>
      </w:tr>
      <w:tr>
        <w:trPr>
          <w:trHeight w:val="209"/>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23,042</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12,141</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33,602</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(1,936)</w:t>
            </w: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11,441</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70"/>
        </w:trPr>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41,630</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1,013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43,141</w:t>
            </w: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of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16,910</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18,033</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14,571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15,727</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0" w:right="1480" w:hanging="4371"/>
        <w:spacing w:after="0" w:line="751" w:lineRule="auto"/>
        <w:tabs>
          <w:tab w:leader="none" w:pos="11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USD 2,361 thousand additions have not been paid (2024: USD 739 thousand). 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347" w:right="13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tab/>
        <w:t>LEASES</w:t>
      </w:r>
    </w:p>
    <w:p>
      <w:pPr>
        <w:spacing w:after="0" w:line="225" w:lineRule="exact"/>
        <w:rPr>
          <w:sz w:val="20"/>
          <w:szCs w:val="20"/>
          <w:color w:val="auto"/>
        </w:rPr>
      </w:pPr>
    </w:p>
    <w:p>
      <w:pPr>
        <w:ind w:left="1520" w:hanging="500"/>
        <w:spacing w:after="0"/>
        <w:tabs>
          <w:tab w:leader="none" w:pos="15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in which the Group is the lessee:</w:t>
      </w:r>
    </w:p>
    <w:p>
      <w:pPr>
        <w:spacing w:after="0" w:line="24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applies IFRS 16, Leases. The Group has lease agreements with respect to the following items:</w:t>
      </w:r>
    </w:p>
    <w:p>
      <w:pPr>
        <w:spacing w:after="0" w:line="238"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w:t>
      </w:r>
    </w:p>
    <w:p>
      <w:pPr>
        <w:spacing w:after="0" w:line="27"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w:t>
      </w:r>
    </w:p>
    <w:p>
      <w:pPr>
        <w:spacing w:after="0" w:line="220" w:lineRule="exact"/>
        <w:rPr>
          <w:sz w:val="20"/>
          <w:szCs w:val="20"/>
          <w:color w:val="auto"/>
        </w:rPr>
      </w:pPr>
    </w:p>
    <w:p>
      <w:pPr>
        <w:ind w:left="2040" w:hanging="507"/>
        <w:spacing w:after="0"/>
        <w:tabs>
          <w:tab w:leader="none" w:pos="20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material lease agreements:</w:t>
      </w:r>
    </w:p>
    <w:p>
      <w:pPr>
        <w:spacing w:after="0" w:line="238" w:lineRule="exact"/>
        <w:rPr>
          <w:rFonts w:ascii="Times New Roman" w:cs="Times New Roman" w:eastAsia="Times New Roman" w:hAnsi="Times New Roman"/>
          <w:sz w:val="18"/>
          <w:szCs w:val="18"/>
          <w:color w:val="auto"/>
        </w:rPr>
      </w:pPr>
    </w:p>
    <w:p>
      <w:pPr>
        <w:ind w:left="2340" w:hanging="271"/>
        <w:spacing w:after="0" w:line="282" w:lineRule="auto"/>
        <w:tabs>
          <w:tab w:leader="none" w:pos="234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leases offices mainly in the United States of America (US), Israel, Canada and UK with contractual original lease periods ending between the years 2026 and 2031 from several lessors.</w:t>
      </w:r>
    </w:p>
    <w:p>
      <w:pPr>
        <w:spacing w:after="0" w:line="161" w:lineRule="exact"/>
        <w:rPr>
          <w:rFonts w:ascii="Times New Roman" w:cs="Times New Roman" w:eastAsia="Times New Roman" w:hAnsi="Times New Roman"/>
          <w:sz w:val="18"/>
          <w:szCs w:val="18"/>
          <w:color w:val="auto"/>
        </w:rPr>
      </w:pPr>
    </w:p>
    <w:p>
      <w:pPr>
        <w:jc w:val="both"/>
        <w:ind w:left="23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liability in the amount of USD 20,149 thousand and USD 20,878 thousand as of December 31, 2025, and December 31, 2024, respectively, and right-of-use asset in the amount of USD 14,951 thousand and USD 13,612 thousand as of December 31, 2025, and December 31, 2024, respectively have been recognized in the statement of financial position in respect of leases of offices.</w:t>
      </w:r>
    </w:p>
    <w:p>
      <w:pPr>
        <w:spacing w:after="0" w:line="185" w:lineRule="exact"/>
        <w:rPr>
          <w:rFonts w:ascii="Times New Roman" w:cs="Times New Roman" w:eastAsia="Times New Roman" w:hAnsi="Times New Roman"/>
          <w:sz w:val="18"/>
          <w:szCs w:val="18"/>
          <w:color w:val="auto"/>
        </w:rPr>
      </w:pPr>
    </w:p>
    <w:p>
      <w:pPr>
        <w:jc w:val="both"/>
        <w:ind w:left="2340" w:hanging="326"/>
        <w:spacing w:after="0" w:line="266" w:lineRule="auto"/>
        <w:tabs>
          <w:tab w:leader="none" w:pos="23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leases data center and related network infrastructure with contractual original lease periods ending between the years 2026 and 2028. The Group did not assume renewals in determination of the lease term unless the renewals are deemed to be reasonably assured at lease commencement.</w:t>
      </w:r>
    </w:p>
    <w:p>
      <w:pPr>
        <w:spacing w:after="0" w:line="189" w:lineRule="exact"/>
        <w:rPr>
          <w:rFonts w:ascii="Times New Roman" w:cs="Times New Roman" w:eastAsia="Times New Roman" w:hAnsi="Times New Roman"/>
          <w:sz w:val="18"/>
          <w:szCs w:val="18"/>
          <w:color w:val="auto"/>
        </w:rPr>
      </w:pPr>
    </w:p>
    <w:p>
      <w:pPr>
        <w:jc w:val="both"/>
        <w:ind w:left="23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liability in the amount of USD 11,782 thousand and USD 16,319 thousand as of December 31, 2025, and December 31, 2024, respectively, and right-of-use asset in the amount of USD 10,822 thousand and USD 15,215 thousand as of December 31, 2025, and December 31, 2024, respectively have been recognized in the statement of financial position in respect of data centers.</w:t>
      </w:r>
    </w:p>
    <w:p>
      <w:pPr>
        <w:spacing w:after="0" w:line="185"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liability:</w:t>
      </w:r>
    </w:p>
    <w:p>
      <w:pPr>
        <w:spacing w:after="0" w:line="2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analysis of the Group's lease payments: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1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2"/>
                <w:szCs w:val="22"/>
                <w:color w:val="auto"/>
              </w:rPr>
            </w:pPr>
          </w:p>
        </w:tc>
      </w:tr>
      <w:tr>
        <w:trPr>
          <w:trHeight w:val="236"/>
        </w:trPr>
        <w:tc>
          <w:tcPr>
            <w:tcW w:w="2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7"/>
        </w:trPr>
        <w:tc>
          <w:tcPr>
            <w:tcW w:w="2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USD</w:t>
            </w:r>
          </w:p>
        </w:tc>
        <w:tc>
          <w:tcPr>
            <w:tcW w:w="9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580" w:type="dxa"/>
            <w:vAlign w:val="bottom"/>
            <w:gridSpan w:val="3"/>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120" w:type="dxa"/>
            <w:vAlign w:val="bottom"/>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 (0-1)</w:t>
            </w:r>
          </w:p>
        </w:tc>
        <w:tc>
          <w:tcPr>
            <w:tcW w:w="45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14,475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15,830</w:t>
            </w:r>
          </w:p>
        </w:tc>
        <w:tc>
          <w:tcPr>
            <w:tcW w:w="1100" w:type="dxa"/>
            <w:vAlign w:val="bottom"/>
          </w:tcPr>
          <w:p>
            <w:pPr>
              <w:spacing w:after="0"/>
              <w:rPr>
                <w:sz w:val="19"/>
                <w:szCs w:val="19"/>
                <w:color w:val="auto"/>
              </w:rPr>
            </w:pPr>
          </w:p>
        </w:tc>
      </w:tr>
      <w:tr>
        <w:trPr>
          <w:trHeight w:val="230"/>
        </w:trPr>
        <w:tc>
          <w:tcPr>
            <w:tcW w:w="21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 (1-5)</w:t>
            </w:r>
          </w:p>
        </w:tc>
        <w:tc>
          <w:tcPr>
            <w:tcW w:w="4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19,761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25,152</w:t>
            </w:r>
          </w:p>
        </w:tc>
        <w:tc>
          <w:tcPr>
            <w:tcW w:w="1100" w:type="dxa"/>
            <w:vAlign w:val="bottom"/>
          </w:tcPr>
          <w:p>
            <w:pPr>
              <w:spacing w:after="0"/>
              <w:rPr>
                <w:sz w:val="19"/>
                <w:szCs w:val="19"/>
                <w:color w:val="auto"/>
              </w:rPr>
            </w:pPr>
          </w:p>
        </w:tc>
      </w:tr>
      <w:tr>
        <w:trPr>
          <w:trHeight w:val="236"/>
        </w:trPr>
        <w:tc>
          <w:tcPr>
            <w:tcW w:w="21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five years (5+)</w:t>
            </w:r>
          </w:p>
        </w:tc>
        <w:tc>
          <w:tcPr>
            <w:tcW w:w="36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r>
      <w:tr>
        <w:trPr>
          <w:trHeight w:val="216"/>
        </w:trPr>
        <w:tc>
          <w:tcPr>
            <w:tcW w:w="2120" w:type="dxa"/>
            <w:vAlign w:val="bottom"/>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2120" w:type="dxa"/>
            <w:vAlign w:val="bottom"/>
          </w:tcPr>
          <w:p>
            <w:pPr>
              <w:spacing w:after="0"/>
              <w:rPr>
                <w:sz w:val="23"/>
                <w:szCs w:val="23"/>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34,387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40,982</w:t>
            </w:r>
          </w:p>
        </w:tc>
        <w:tc>
          <w:tcPr>
            <w:tcW w:w="1100" w:type="dxa"/>
            <w:vAlign w:val="bottom"/>
          </w:tcPr>
          <w:p>
            <w:pPr>
              <w:spacing w:after="0"/>
              <w:rPr>
                <w:sz w:val="23"/>
                <w:szCs w:val="23"/>
                <w:color w:val="auto"/>
              </w:rPr>
            </w:pPr>
          </w:p>
        </w:tc>
      </w:tr>
      <w:tr>
        <w:trPr>
          <w:trHeight w:val="615"/>
        </w:trPr>
        <w:tc>
          <w:tcPr>
            <w:tcW w:w="2120" w:type="dxa"/>
            <w:vAlign w:val="bottom"/>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F - 25</w:t>
            </w: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00" w:type="dxa"/>
            <w:vAlign w:val="bottom"/>
          </w:tcPr>
          <w:p>
            <w:pPr>
              <w:spacing w:after="0"/>
              <w:rPr>
                <w:sz w:val="24"/>
                <w:szCs w:val="24"/>
                <w:color w:val="auto"/>
              </w:rPr>
            </w:pPr>
          </w:p>
        </w:tc>
      </w:tr>
      <w:tr>
        <w:trPr>
          <w:trHeight w:val="61"/>
        </w:trPr>
        <w:tc>
          <w:tcPr>
            <w:tcW w:w="212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34" w:name="page135"/>
    <w:bookmarkEnd w:id="134"/>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LEASES (Cont.)</w:t>
      </w:r>
    </w:p>
    <w:p>
      <w:pPr>
        <w:spacing w:after="0" w:line="225" w:lineRule="exact"/>
        <w:rPr>
          <w:sz w:val="20"/>
          <w:szCs w:val="20"/>
          <w:color w:val="auto"/>
        </w:rPr>
      </w:pPr>
    </w:p>
    <w:p>
      <w:pPr>
        <w:ind w:left="1520" w:hanging="500"/>
        <w:spacing w:after="0"/>
        <w:tabs>
          <w:tab w:leader="none" w:pos="15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in which the Group is the lessee (Cont.):</w:t>
      </w:r>
    </w:p>
    <w:p>
      <w:pPr>
        <w:spacing w:after="0" w:line="242"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 Composition:</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Offices</w:t>
            </w:r>
          </w:p>
        </w:tc>
        <w:tc>
          <w:tcPr>
            <w:tcW w:w="10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Data</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center</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0"/>
              </w:rPr>
              <w:t>USD thousands</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11,027</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14,888</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on right-of-use assets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7,257</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modifications</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Terminations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13,612</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15,215</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28,827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on right-of-use assets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(13,611)</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7,979</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modifications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Terminations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14,951</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10,822</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25,773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4)</w:t>
            </w:r>
          </w:p>
        </w:tc>
        <w:tc>
          <w:tcPr>
            <w:tcW w:w="5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 recognized in statement of operation: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0"/>
              </w:rPr>
              <w:t>USD thousands</w:t>
            </w:r>
          </w:p>
        </w:tc>
        <w:tc>
          <w:tcPr>
            <w:tcW w:w="260" w:type="dxa"/>
            <w:vAlign w:val="bottom"/>
            <w:tcBorders>
              <w:bottom w:val="single" w:sz="8" w:color="auto"/>
            </w:tcBorders>
            <w:gridSpan w:val="2"/>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expenses on lease liability</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right-of-use assets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(12,443)</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(15,001)</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recognized in profit or loss</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(15,163)</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(14,313)</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(17,005)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40" w:hanging="507"/>
        <w:spacing w:after="0"/>
        <w:tabs>
          <w:tab w:leader="none" w:pos="2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recognized in the statement of cash flows:</w:t>
      </w:r>
    </w:p>
    <w:p>
      <w:pPr>
        <w:spacing w:after="0" w:line="235"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17316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1731645" cy="17145"/>
                    </a:xfrm>
                    <a:prstGeom prst="rect">
                      <a:avLst/>
                    </a:prstGeom>
                    <a:noFill/>
                  </pic:spPr>
                </pic:pic>
              </a:graphicData>
            </a:graphic>
          </wp:anchor>
        </w:drawing>
      </w:r>
    </w:p>
    <w:p>
      <w:pPr>
        <w:spacing w:after="0" w:line="7" w:lineRule="exact"/>
        <w:rPr>
          <w:sz w:val="20"/>
          <w:szCs w:val="20"/>
          <w:color w:val="auto"/>
        </w:rPr>
      </w:pPr>
    </w:p>
    <w:p>
      <w:pPr>
        <w:ind w:left="7560"/>
        <w:spacing w:after="0"/>
        <w:tabs>
          <w:tab w:leader="none" w:pos="8520" w:val="left"/>
          <w:tab w:leader="none" w:pos="94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28575</wp:posOffset>
            </wp:positionV>
            <wp:extent cx="17316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1731645" cy="17145"/>
                    </a:xfrm>
                    <a:prstGeom prst="rect">
                      <a:avLst/>
                    </a:prstGeom>
                    <a:noFill/>
                  </pic:spPr>
                </pic:pic>
              </a:graphicData>
            </a:graphic>
          </wp:anchor>
        </w:drawing>
      </w:r>
    </w:p>
    <w:p>
      <w:pPr>
        <w:spacing w:after="0" w:line="3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28575</wp:posOffset>
            </wp:positionV>
            <wp:extent cx="17316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1731645" cy="17145"/>
                    </a:xfrm>
                    <a:prstGeom prst="rect">
                      <a:avLst/>
                    </a:prstGeom>
                    <a:noFill/>
                  </pic:spPr>
                </pic:pic>
              </a:graphicData>
            </a:graphic>
          </wp:anchor>
        </w:drawing>
      </w:r>
    </w:p>
    <w:p>
      <w:pPr>
        <w:spacing w:after="0" w:line="268"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 for leases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(17,968)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(17,002)</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(19,147)</w:t>
            </w:r>
          </w:p>
        </w:tc>
      </w:tr>
      <w:tr>
        <w:trPr>
          <w:trHeight w:val="27"/>
        </w:trPr>
        <w:tc>
          <w:tcPr>
            <w:tcW w:w="5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40"/>
          </w:cols>
          <w:pgMar w:left="320" w:top="347" w:right="14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LEASES (Cont.)</w:t>
      </w:r>
    </w:p>
    <w:p>
      <w:pPr>
        <w:spacing w:after="0" w:line="225" w:lineRule="exact"/>
        <w:rPr>
          <w:sz w:val="20"/>
          <w:szCs w:val="20"/>
          <w:color w:val="auto"/>
        </w:rPr>
      </w:pPr>
    </w:p>
    <w:p>
      <w:pPr>
        <w:ind w:left="1520" w:hanging="500"/>
        <w:spacing w:after="0"/>
        <w:tabs>
          <w:tab w:leader="none" w:pos="1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in which the Group is a lessor:</w:t>
      </w:r>
    </w:p>
    <w:p>
      <w:pPr>
        <w:spacing w:after="0" w:line="242"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material lease agreements:</w:t>
      </w:r>
    </w:p>
    <w:p>
      <w:pPr>
        <w:spacing w:after="0" w:line="238"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subleases offices at the US for periods expiring in 2027.</w:t>
      </w:r>
    </w:p>
    <w:p>
      <w:pPr>
        <w:spacing w:after="0" w:line="238" w:lineRule="exact"/>
        <w:rPr>
          <w:rFonts w:ascii="Times New Roman" w:cs="Times New Roman" w:eastAsia="Times New Roman" w:hAnsi="Times New Roman"/>
          <w:sz w:val="18"/>
          <w:szCs w:val="18"/>
          <w:color w:val="auto"/>
        </w:rPr>
      </w:pPr>
    </w:p>
    <w:p>
      <w:pPr>
        <w:jc w:val="both"/>
        <w:ind w:left="20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one of the Company’s subtenants in the U.S. decided not to extend its sublease agreement. As a result, the Company remeasured its net investment in financing lease receivable and recorded a loss of USD 1,488 thousand in other expenses.</w:t>
      </w:r>
    </w:p>
    <w:p>
      <w:pPr>
        <w:spacing w:after="0" w:line="195"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 the lease:</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hereunder is the movement in the net investment in the lease: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1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6"/>
              </w:rPr>
              <w:t>Offices</w:t>
            </w: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760" w:type="dxa"/>
            <w:vAlign w:val="bottom"/>
            <w:gridSpan w:val="5"/>
          </w:tcPr>
          <w:p>
            <w:pPr>
              <w:ind w:left="440"/>
              <w:spacing w:after="0" w:line="19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8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9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2,673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5,985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receipts</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net investment in a finance lease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1,232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6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Maturity analysis of net investment in finance leases: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860" w:type="dxa"/>
            <w:vAlign w:val="bottom"/>
            <w:vMerge w:val="continue"/>
          </w:tcPr>
          <w:p>
            <w:pPr>
              <w:spacing w:after="0"/>
              <w:rPr>
                <w:sz w:val="24"/>
                <w:szCs w:val="24"/>
                <w:color w:val="auto"/>
              </w:rPr>
            </w:pPr>
          </w:p>
        </w:tc>
        <w:tc>
          <w:tcPr>
            <w:tcW w:w="64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8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USD</w:t>
            </w:r>
          </w:p>
        </w:tc>
        <w:tc>
          <w:tcPr>
            <w:tcW w:w="9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 (0-1)</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 (1-5)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1,235</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investment in the lease as of December 31,</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1,232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8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color w:val="auto"/>
              </w:rPr>
              <w:t>F - 27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8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LEASES (Cont.)</w:t>
      </w:r>
    </w:p>
    <w:p>
      <w:pPr>
        <w:spacing w:after="0" w:line="225" w:lineRule="exact"/>
        <w:rPr>
          <w:sz w:val="20"/>
          <w:szCs w:val="20"/>
          <w:color w:val="auto"/>
        </w:rPr>
      </w:pPr>
    </w:p>
    <w:p>
      <w:pPr>
        <w:ind w:left="1520" w:hanging="500"/>
        <w:spacing w:after="0"/>
        <w:tabs>
          <w:tab w:leader="none" w:pos="1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in which the Group is a lessor (Cont.):</w:t>
      </w:r>
    </w:p>
    <w:p>
      <w:pPr>
        <w:spacing w:after="0" w:line="242" w:lineRule="exact"/>
        <w:rPr>
          <w:rFonts w:ascii="Times New Roman" w:cs="Times New Roman" w:eastAsia="Times New Roman" w:hAnsi="Times New Roman"/>
          <w:sz w:val="18"/>
          <w:szCs w:val="18"/>
          <w:b w:val="1"/>
          <w:bCs w:val="1"/>
          <w:color w:val="auto"/>
        </w:rPr>
      </w:pPr>
    </w:p>
    <w:p>
      <w:pPr>
        <w:ind w:left="2040" w:hanging="507"/>
        <w:spacing w:after="0"/>
        <w:tabs>
          <w:tab w:leader="none" w:pos="20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recognized in statement of operation:</w:t>
      </w:r>
    </w:p>
    <w:p>
      <w:pPr>
        <w:spacing w:after="0" w:line="235" w:lineRule="exact"/>
        <w:rPr>
          <w:sz w:val="20"/>
          <w:szCs w:val="20"/>
          <w:color w:val="auto"/>
        </w:rPr>
      </w:pPr>
    </w:p>
    <w:tbl>
      <w:tblPr>
        <w:tblLayout w:type="fixed"/>
        <w:tblInd w:w="2120" w:type="dxa"/>
        <w:tblCellMar>
          <w:top w:w="0" w:type="dxa"/>
          <w:left w:w="0" w:type="dxa"/>
          <w:bottom w:w="0" w:type="dxa"/>
          <w:right w:w="0" w:type="dxa"/>
        </w:tblCellMar>
      </w:tblPr>
      <w:tr>
        <w:trPr>
          <w:trHeight w:val="259"/>
        </w:trPr>
        <w:tc>
          <w:tcPr>
            <w:tcW w:w="52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Offices</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5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Year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9"/>
        </w:trPr>
        <w:tc>
          <w:tcPr>
            <w:tcW w:w="52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522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5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80"/>
              </w:rPr>
              <w:t>USD thousands</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measurement of net investment in a finance lease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income on the net investment in the lease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(1,280)</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221</w:t>
            </w:r>
          </w:p>
        </w:tc>
      </w:tr>
      <w:tr>
        <w:trPr>
          <w:trHeight w:val="21"/>
        </w:trPr>
        <w:tc>
          <w:tcPr>
            <w:tcW w:w="5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0" w:type="dxa"/>
            <w:vAlign w:val="bottom"/>
            <w:vMerge w:val="restart"/>
          </w:tcPr>
          <w:p>
            <w:pPr>
              <w:spacing w:after="0"/>
              <w:rPr>
                <w:sz w:val="24"/>
                <w:szCs w:val="24"/>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relationships</w:t>
            </w:r>
          </w:p>
        </w:tc>
        <w:tc>
          <w:tcPr>
            <w:tcW w:w="106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USD thousands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2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47,388</w:t>
            </w:r>
          </w:p>
        </w:tc>
        <w:tc>
          <w:tcPr>
            <w:tcW w:w="18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74,039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133,749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246,352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501,528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18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16,218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(3,397)</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18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73,900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133,369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245,826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513,236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left w:val="single" w:sz="8" w:color="CCEEFF"/>
            </w:tcBorders>
            <w:shd w:val="clear" w:color="auto" w:fill="CCEEFF"/>
          </w:tcPr>
          <w:p>
            <w:pPr>
              <w:spacing w:after="0"/>
              <w:rPr>
                <w:sz w:val="19"/>
                <w:szCs w:val="19"/>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18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17,577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77,859</w:t>
            </w:r>
          </w:p>
        </w:tc>
        <w:tc>
          <w:tcPr>
            <w:tcW w:w="18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74,588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134,251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247,632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534,330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80" w:type="dxa"/>
            <w:vAlign w:val="bottom"/>
            <w:tcBorders>
              <w:left w:val="single" w:sz="8" w:color="CCEEFF"/>
            </w:tcBorders>
            <w:shd w:val="clear" w:color="auto" w:fill="CCEEFF"/>
          </w:tcPr>
          <w:p>
            <w:pPr>
              <w:spacing w:after="0"/>
              <w:rPr>
                <w:sz w:val="19"/>
                <w:szCs w:val="19"/>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45,120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66,825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139,528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80" w:type="dxa"/>
            <w:vAlign w:val="bottom"/>
            <w:tcBorders>
              <w:left w:val="single" w:sz="8" w:color="CCEEFF"/>
            </w:tcBorders>
            <w:shd w:val="clear" w:color="auto" w:fill="CCEEFF"/>
          </w:tcPr>
          <w:p>
            <w:pPr>
              <w:spacing w:after="0"/>
              <w:rPr>
                <w:sz w:val="19"/>
                <w:szCs w:val="19"/>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11,523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18,320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40,746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Disposals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(3,397)</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35,040</w:t>
            </w:r>
          </w:p>
        </w:tc>
        <w:tc>
          <w:tcPr>
            <w:tcW w:w="180" w:type="dxa"/>
            <w:vAlign w:val="bottom"/>
            <w:tcBorders>
              <w:left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56,497</w:t>
            </w:r>
          </w:p>
        </w:tc>
        <w:tc>
          <w:tcPr>
            <w:tcW w:w="16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84,931</w:t>
            </w:r>
          </w:p>
        </w:tc>
        <w:tc>
          <w:tcPr>
            <w:tcW w:w="16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176,468</w:t>
            </w: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688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8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5,102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18,375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38,072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49,746</w:t>
            </w:r>
          </w:p>
        </w:tc>
        <w:tc>
          <w:tcPr>
            <w:tcW w:w="18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62,287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103,921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215,954</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92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18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12,301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30,330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247,632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318,376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 of December31,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25,101</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245,826</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336,768</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5"/>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 - 28</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INTANGIBLE ASSETS, NET (Cont.)</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Capitalized development costs</w:t>
      </w:r>
    </w:p>
    <w:p>
      <w:pPr>
        <w:spacing w:after="0" w:line="256"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Development costs capitalized in the period amounted to USD 17,427 thousand (2024: USD 15,366 thousand) and were classified under software.</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Impairment testing for intangible assets</w:t>
      </w:r>
    </w:p>
    <w:p>
      <w:pPr>
        <w:spacing w:after="0" w:line="243" w:lineRule="exact"/>
        <w:rPr>
          <w:sz w:val="20"/>
          <w:szCs w:val="20"/>
          <w:color w:val="auto"/>
        </w:rPr>
      </w:pPr>
    </w:p>
    <w:p>
      <w:pPr>
        <w:jc w:val="both"/>
        <w:ind w:left="1020"/>
        <w:spacing w:after="0" w:line="297" w:lineRule="auto"/>
        <w:rPr>
          <w:sz w:val="20"/>
          <w:szCs w:val="20"/>
          <w:color w:val="auto"/>
        </w:rPr>
      </w:pPr>
      <w:r>
        <w:rPr>
          <w:rFonts w:ascii="Times New Roman" w:cs="Times New Roman" w:eastAsia="Times New Roman" w:hAnsi="Times New Roman"/>
          <w:sz w:val="18"/>
          <w:szCs w:val="18"/>
          <w:color w:val="auto"/>
        </w:rPr>
        <w:t>The Company's qualitative assessment as of December 31, 2025, and December 31, 2024, did not indicate that it is more likely than not that the recoverable amount of its intangible assets, and other long-lived assets is less than their aggregate carrying amount.</w:t>
      </w:r>
    </w:p>
    <w:p>
      <w:pPr>
        <w:spacing w:after="0" w:line="163" w:lineRule="exact"/>
        <w:rPr>
          <w:sz w:val="20"/>
          <w:szCs w:val="20"/>
          <w:color w:val="auto"/>
        </w:rPr>
      </w:pPr>
    </w:p>
    <w:p>
      <w:pPr>
        <w:jc w:val="both"/>
        <w:ind w:left="1020"/>
        <w:spacing w:after="0" w:line="274" w:lineRule="auto"/>
        <w:rPr>
          <w:sz w:val="20"/>
          <w:szCs w:val="20"/>
          <w:color w:val="auto"/>
        </w:rPr>
      </w:pPr>
      <w:r>
        <w:rPr>
          <w:rFonts w:ascii="Times New Roman" w:cs="Times New Roman" w:eastAsia="Times New Roman" w:hAnsi="Times New Roman"/>
          <w:sz w:val="18"/>
          <w:szCs w:val="18"/>
          <w:color w:val="auto"/>
        </w:rPr>
        <w:t>As of December 31, 2025, the estimated recoverable amount based on Company’s market value was lower than the carrying amount, and therefore the recoverable amount was estimated based on value in use and was determined by discounting the future cash flows. The estimated value in use was higher than the carrying amount of its net assets and therefore there was no need for impairment.</w:t>
      </w:r>
    </w:p>
    <w:p>
      <w:pPr>
        <w:spacing w:after="0" w:line="1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Key assumptions used in the calculation of recoverable amounts are as of December 31, 2025:</w:t>
      </w:r>
    </w:p>
    <w:p>
      <w:pPr>
        <w:sectPr>
          <w:pgSz w:w="11900" w:h="16838" w:orient="portrait"/>
          <w:cols w:equalWidth="0" w:num="1">
            <w:col w:w="11240"/>
          </w:cols>
          <w:pgMar w:left="320" w:top="333" w:right="339" w:bottom="1440" w:gutter="0" w:footer="0" w:header="0"/>
        </w:sectPr>
      </w:pPr>
    </w:p>
    <w:p>
      <w:pPr>
        <w:spacing w:after="0" w:line="239" w:lineRule="exact"/>
        <w:rPr>
          <w:sz w:val="20"/>
          <w:szCs w:val="20"/>
          <w:color w:val="auto"/>
        </w:rPr>
      </w:pPr>
    </w:p>
    <w:p>
      <w:pPr>
        <w:ind w:left="1020"/>
        <w:spacing w:after="0" w:line="312" w:lineRule="auto"/>
        <w:rPr>
          <w:sz w:val="20"/>
          <w:szCs w:val="20"/>
          <w:color w:val="auto"/>
        </w:rPr>
      </w:pPr>
      <w:r>
        <w:rPr>
          <w:rFonts w:ascii="Times New Roman" w:cs="Times New Roman" w:eastAsia="Times New Roman" w:hAnsi="Times New Roman"/>
          <w:sz w:val="17"/>
          <w:szCs w:val="17"/>
          <w:color w:val="auto"/>
        </w:rPr>
        <w:t>Post-tax discount rate Terminal value growth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(WACC)</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w:t>
      </w:r>
    </w:p>
    <w:p>
      <w:pPr>
        <w:spacing w:after="0" w:line="233" w:lineRule="exact"/>
        <w:rPr>
          <w:sz w:val="20"/>
          <w:szCs w:val="20"/>
          <w:color w:val="auto"/>
        </w:rPr>
      </w:pPr>
    </w:p>
    <w:p>
      <w:pPr>
        <w:sectPr>
          <w:pgSz w:w="11900" w:h="16838" w:orient="portrait"/>
          <w:cols w:equalWidth="0" w:num="2">
            <w:col w:w="2980" w:space="460"/>
            <w:col w:w="7800"/>
          </w:cols>
          <w:pgMar w:left="320" w:top="333" w:right="339" w:bottom="1440" w:gutter="0" w:footer="0" w:header="0"/>
          <w:type w:val="continuous"/>
        </w:sectPr>
      </w:pPr>
    </w:p>
    <w:p>
      <w:pPr>
        <w:jc w:val="both"/>
        <w:ind w:left="1020" w:right="20"/>
        <w:spacing w:after="0" w:line="274" w:lineRule="auto"/>
        <w:rPr>
          <w:sz w:val="20"/>
          <w:szCs w:val="20"/>
          <w:color w:val="auto"/>
        </w:rPr>
      </w:pPr>
      <w:r>
        <w:rPr>
          <w:rFonts w:ascii="Times New Roman" w:cs="Times New Roman" w:eastAsia="Times New Roman" w:hAnsi="Times New Roman"/>
          <w:sz w:val="18"/>
          <w:szCs w:val="18"/>
          <w:color w:val="auto"/>
        </w:rPr>
        <w:t>The cash flow projections include specific estimates for 5 years and a terminal value growth rate thereafter. EBITDA growth rate is expressed as the annual growth rate in the initial 5 years of the plans used for impairment testing and has been mainly based on past experience and management expectations.</w:t>
      </w:r>
    </w:p>
    <w:p>
      <w:pPr>
        <w:spacing w:after="0" w:line="182" w:lineRule="exact"/>
        <w:rPr>
          <w:sz w:val="20"/>
          <w:szCs w:val="20"/>
          <w:color w:val="auto"/>
        </w:rPr>
      </w:pPr>
    </w:p>
    <w:p>
      <w:pPr>
        <w:jc w:val="both"/>
        <w:ind w:left="1020"/>
        <w:spacing w:after="0" w:line="297" w:lineRule="auto"/>
        <w:rPr>
          <w:sz w:val="20"/>
          <w:szCs w:val="20"/>
          <w:color w:val="auto"/>
        </w:rPr>
      </w:pPr>
      <w:r>
        <w:rPr>
          <w:rFonts w:ascii="Times New Roman" w:cs="Times New Roman" w:eastAsia="Times New Roman" w:hAnsi="Times New Roman"/>
          <w:sz w:val="18"/>
          <w:szCs w:val="18"/>
          <w:color w:val="auto"/>
        </w:rPr>
        <w:t>As of December 31, 2024, the recoverable amount based on Company’s fair value estimated according to quoted price of the Company’s ordinary shares was higher than the carrying amount, and therefore there was no need for impairment.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TRADE AND OTHER RECEIVABLES</w:t>
            </w:r>
          </w:p>
        </w:tc>
        <w:tc>
          <w:tcPr>
            <w:tcW w:w="3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4"/>
                <w:szCs w:val="24"/>
                <w:color w:val="auto"/>
              </w:rPr>
            </w:pPr>
          </w:p>
        </w:tc>
      </w:tr>
      <w:tr>
        <w:trPr>
          <w:trHeight w:val="236"/>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205,092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236,462</w:t>
            </w:r>
          </w:p>
        </w:tc>
        <w:tc>
          <w:tcPr>
            <w:tcW w:w="102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(8,991)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(18,502)</w:t>
            </w: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1140" w:type="dxa"/>
            <w:vAlign w:val="bottom"/>
          </w:tcPr>
          <w:p>
            <w:pPr>
              <w:spacing w:after="0"/>
              <w:rPr>
                <w:sz w:val="23"/>
                <w:szCs w:val="2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45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196,101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217,960</w:t>
            </w:r>
          </w:p>
        </w:tc>
        <w:tc>
          <w:tcPr>
            <w:tcW w:w="1020" w:type="dxa"/>
            <w:vAlign w:val="bottom"/>
          </w:tcPr>
          <w:p>
            <w:pPr>
              <w:spacing w:after="0"/>
              <w:rPr>
                <w:sz w:val="23"/>
                <w:szCs w:val="23"/>
                <w:color w:val="auto"/>
              </w:rPr>
            </w:pPr>
          </w:p>
        </w:tc>
      </w:tr>
      <w:tr>
        <w:trPr>
          <w:trHeight w:val="210"/>
        </w:trPr>
        <w:tc>
          <w:tcPr>
            <w:tcW w:w="1140" w:type="dxa"/>
            <w:vAlign w:val="bottom"/>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3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3,882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2,936</w:t>
            </w:r>
          </w:p>
        </w:tc>
        <w:tc>
          <w:tcPr>
            <w:tcW w:w="10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45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10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Pledged deposits</w:t>
            </w:r>
          </w:p>
        </w:tc>
        <w:tc>
          <w:tcPr>
            <w:tcW w:w="4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449</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102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1140" w:type="dxa"/>
            <w:vAlign w:val="bottom"/>
          </w:tcPr>
          <w:p>
            <w:pPr>
              <w:spacing w:after="0"/>
              <w:rPr>
                <w:sz w:val="23"/>
                <w:szCs w:val="23"/>
                <w:color w:val="auto"/>
              </w:rPr>
            </w:pPr>
          </w:p>
        </w:tc>
        <w:tc>
          <w:tcPr>
            <w:tcW w:w="36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6,116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4,579</w:t>
            </w:r>
          </w:p>
        </w:tc>
        <w:tc>
          <w:tcPr>
            <w:tcW w:w="1020" w:type="dxa"/>
            <w:vAlign w:val="bottom"/>
          </w:tcPr>
          <w:p>
            <w:pPr>
              <w:spacing w:after="0"/>
              <w:rPr>
                <w:sz w:val="23"/>
                <w:szCs w:val="23"/>
                <w:color w:val="auto"/>
              </w:rPr>
            </w:pPr>
          </w:p>
        </w:tc>
      </w:tr>
      <w:tr>
        <w:trPr>
          <w:trHeight w:val="614"/>
        </w:trPr>
        <w:tc>
          <w:tcPr>
            <w:tcW w:w="114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 - 29</w:t>
            </w: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20" w:type="dxa"/>
            <w:vAlign w:val="bottom"/>
          </w:tcPr>
          <w:p>
            <w:pPr>
              <w:spacing w:after="0"/>
              <w:rPr>
                <w:sz w:val="24"/>
                <w:szCs w:val="24"/>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TRADE AND OTHER PAYABLES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payables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207,020</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228,514</w:t>
            </w:r>
          </w:p>
        </w:tc>
      </w:tr>
      <w:tr>
        <w:trPr>
          <w:trHeight w:val="216"/>
        </w:trPr>
        <w:tc>
          <w:tcPr>
            <w:tcW w:w="114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payables:</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11,546</w:t>
            </w:r>
          </w:p>
        </w:tc>
      </w:tr>
      <w:tr>
        <w:trPr>
          <w:trHeight w:val="230"/>
        </w:trPr>
        <w:tc>
          <w:tcPr>
            <w:tcW w:w="11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Wages, salaries and related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21,003</w:t>
            </w:r>
          </w:p>
        </w:tc>
      </w:tr>
      <w:tr>
        <w:trPr>
          <w:trHeight w:val="229"/>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1,934</w:t>
            </w:r>
          </w:p>
        </w:tc>
      </w:tr>
      <w:tr>
        <w:trPr>
          <w:trHeight w:val="230"/>
        </w:trPr>
        <w:tc>
          <w:tcPr>
            <w:tcW w:w="11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864</w:t>
            </w:r>
          </w:p>
        </w:tc>
      </w:tr>
      <w:tr>
        <w:trPr>
          <w:trHeight w:val="229"/>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to pay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11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Pledged deposits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r>
      <w:tr>
        <w:trPr>
          <w:trHeight w:val="237"/>
        </w:trPr>
        <w:tc>
          <w:tcPr>
            <w:tcW w:w="1140" w:type="dxa"/>
            <w:vAlign w:val="bottom"/>
          </w:tcPr>
          <w:p>
            <w:pPr>
              <w:spacing w:after="0"/>
              <w:rPr>
                <w:sz w:val="20"/>
                <w:szCs w:val="20"/>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2,806</w:t>
            </w:r>
          </w:p>
        </w:tc>
      </w:tr>
      <w:tr>
        <w:trPr>
          <w:trHeight w:val="216"/>
        </w:trPr>
        <w:tc>
          <w:tcPr>
            <w:tcW w:w="114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70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41,282</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38,526</w:t>
            </w:r>
          </w:p>
        </w:tc>
      </w:tr>
      <w:tr>
        <w:trPr>
          <w:trHeight w:val="20"/>
        </w:trPr>
        <w:tc>
          <w:tcPr>
            <w:tcW w:w="1140" w:type="dxa"/>
            <w:vAlign w:val="bottom"/>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CASH AND CASH EQUIVALENTS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11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4"/>
              </w:rPr>
              <w:t>thousands</w:t>
            </w: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77,999</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87,199</w:t>
            </w:r>
          </w:p>
        </w:tc>
      </w:tr>
      <w:tr>
        <w:trPr>
          <w:trHeight w:val="237"/>
        </w:trPr>
        <w:tc>
          <w:tcPr>
            <w:tcW w:w="114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Bank deposits and money market funds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55,309</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99,869</w:t>
            </w: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187,068</w:t>
            </w:r>
          </w:p>
        </w:tc>
      </w:tr>
      <w:tr>
        <w:trPr>
          <w:trHeight w:val="20"/>
        </w:trPr>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of December 31, 2025 and December 31, 2024, the cash and cash equivalents bear interest in rates up to 3.25%, and 4.25%, respectively.</w:t>
      </w:r>
    </w:p>
    <w:p>
      <w:pPr>
        <w:spacing w:after="0" w:line="2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Group’s exposure to credit, and currency risks are disclosed in Note 18 on financial instruments.</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11:</w:t>
        <w:tab/>
        <w:t>LONG-TERM DEBT</w:t>
      </w:r>
    </w:p>
    <w:p>
      <w:pPr>
        <w:spacing w:after="0" w:line="243" w:lineRule="exact"/>
        <w:rPr>
          <w:sz w:val="20"/>
          <w:szCs w:val="20"/>
          <w:color w:val="auto"/>
        </w:rPr>
      </w:pPr>
    </w:p>
    <w:p>
      <w:pPr>
        <w:jc w:val="both"/>
        <w:ind w:left="1020"/>
        <w:spacing w:after="0" w:line="271" w:lineRule="auto"/>
        <w:rPr>
          <w:sz w:val="20"/>
          <w:szCs w:val="20"/>
          <w:color w:val="auto"/>
        </w:rPr>
      </w:pPr>
      <w:r>
        <w:rPr>
          <w:rFonts w:ascii="Times New Roman" w:cs="Times New Roman" w:eastAsia="Times New Roman" w:hAnsi="Times New Roman"/>
          <w:sz w:val="18"/>
          <w:szCs w:val="18"/>
          <w:color w:val="auto"/>
        </w:rPr>
        <w:t>In September 2022, Nexxen Group US Holdings Inc. entered into a USD 90 million senior secured term loan facility (the Term Loan Facility) and a USD 90 million senior secured revolving credit facility (the Revolving Credit Facility and, together with the Term Loan Facility, collectively, the Credit Facilities). The Company used the net proceeds of the Term Loan Facility and USD 10 million of net proceeds of the Revolving Credit Facility. The loan period was 3 years from the date it was obtained.</w:t>
      </w:r>
    </w:p>
    <w:p>
      <w:pPr>
        <w:spacing w:after="0" w:line="186" w:lineRule="exact"/>
        <w:rPr>
          <w:sz w:val="20"/>
          <w:szCs w:val="20"/>
          <w:color w:val="auto"/>
        </w:rPr>
      </w:pPr>
    </w:p>
    <w:p>
      <w:pPr>
        <w:jc w:val="both"/>
        <w:ind w:left="1020"/>
        <w:spacing w:after="0" w:line="297" w:lineRule="auto"/>
        <w:rPr>
          <w:sz w:val="20"/>
          <w:szCs w:val="20"/>
          <w:color w:val="auto"/>
        </w:rPr>
      </w:pPr>
      <w:r>
        <w:rPr>
          <w:rFonts w:ascii="Times New Roman" w:cs="Times New Roman" w:eastAsia="Times New Roman" w:hAnsi="Times New Roman"/>
          <w:sz w:val="18"/>
          <w:szCs w:val="18"/>
          <w:color w:val="auto"/>
        </w:rPr>
        <w:t>On April 9, 2024, the Company repaid its outstanding long-term debt, in the total amount of USD 100 million. No early termination penalties were incurred.</w:t>
      </w:r>
    </w:p>
    <w:p>
      <w:pPr>
        <w:spacing w:after="0" w:line="163" w:lineRule="exact"/>
        <w:rPr>
          <w:sz w:val="20"/>
          <w:szCs w:val="20"/>
          <w:color w:val="auto"/>
        </w:rPr>
      </w:pPr>
    </w:p>
    <w:p>
      <w:pPr>
        <w:jc w:val="both"/>
        <w:ind w:left="1020"/>
        <w:spacing w:after="0" w:line="271" w:lineRule="auto"/>
        <w:rPr>
          <w:sz w:val="20"/>
          <w:szCs w:val="20"/>
          <w:color w:val="auto"/>
        </w:rPr>
      </w:pPr>
      <w:r>
        <w:rPr>
          <w:rFonts w:ascii="Times New Roman" w:cs="Times New Roman" w:eastAsia="Times New Roman" w:hAnsi="Times New Roman"/>
          <w:sz w:val="18"/>
          <w:szCs w:val="18"/>
          <w:color w:val="auto"/>
        </w:rPr>
        <w:t>On May 29, 2025, the Company amended its revolving credit arrangements and transitioned to a reduced senior secured revolving credit facility in an aggregate amount of USD 50 million and the maturity date was extended to September 2027 (the “Amended Revolving Credit Facility”). As of December 31, 2025, no amounts were drawn under the Amended Revolving Credit Facility and it remains available in its entirety.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11:</w:t>
        <w:tab/>
        <w:t>LONG-TERM DEBT (Cont.)</w:t>
      </w:r>
    </w:p>
    <w:p>
      <w:pPr>
        <w:spacing w:after="0" w:line="229" w:lineRule="exact"/>
        <w:rPr>
          <w:sz w:val="20"/>
          <w:szCs w:val="20"/>
          <w:color w:val="auto"/>
        </w:rPr>
      </w:pPr>
    </w:p>
    <w:p>
      <w:pPr>
        <w:jc w:val="both"/>
        <w:ind w:left="1020"/>
        <w:spacing w:after="0" w:line="270" w:lineRule="auto"/>
        <w:rPr>
          <w:sz w:val="20"/>
          <w:szCs w:val="20"/>
          <w:color w:val="auto"/>
        </w:rPr>
      </w:pPr>
      <w:r>
        <w:rPr>
          <w:rFonts w:ascii="Times New Roman" w:cs="Times New Roman" w:eastAsia="Times New Roman" w:hAnsi="Times New Roman"/>
          <w:sz w:val="18"/>
          <w:szCs w:val="18"/>
          <w:color w:val="auto"/>
        </w:rPr>
        <w:t>The Company is obligated to pay a commitment fee on the undrawn amounts of the Revolving Credit Facility at an annual rate, determined by the Company’s total net leverage ratio, on a quarterly basis, and agency fees in a fixed amount. The Revolving Credit Facility requires compliance with various financial and non-financial covenants, including affirmative and negative covenants. The financial covenants require that the total net leverage ratio not exceed 3x and the interest coverage ratio not be less than 4x, in each case measured as of the end of each fiscal quarter. As of December 31, 2025, the Company is in compliance with all related covenants.</w:t>
      </w:r>
    </w:p>
    <w:p>
      <w:pPr>
        <w:spacing w:after="0" w:line="186" w:lineRule="exact"/>
        <w:rPr>
          <w:sz w:val="20"/>
          <w:szCs w:val="20"/>
          <w:color w:val="auto"/>
        </w:rPr>
      </w:pPr>
    </w:p>
    <w:p>
      <w:pPr>
        <w:jc w:val="both"/>
        <w:ind w:left="1020"/>
        <w:spacing w:after="0" w:line="271" w:lineRule="auto"/>
        <w:rPr>
          <w:sz w:val="20"/>
          <w:szCs w:val="20"/>
          <w:color w:val="auto"/>
        </w:rPr>
      </w:pPr>
      <w:r>
        <w:rPr>
          <w:rFonts w:ascii="Times New Roman" w:cs="Times New Roman" w:eastAsia="Times New Roman" w:hAnsi="Times New Roman"/>
          <w:sz w:val="18"/>
          <w:szCs w:val="18"/>
          <w:color w:val="auto"/>
        </w:rPr>
        <w:t>Nexxen Group US Holdings Inc.’s obligations under the Revolving Credit Facility is (i) jointly and severally guaranteed by the Company and certain of the Company’s direct and indirect, existing and future wholly owned restricted subsidiaries (as defined in the Credit Facility), subject to certain exceptions and (ii) secured on a first-lien basis by substantially all of the tangible and intangible assets of Nexxen Group US Holdings Inc. and the guarantors of the Revolving Credit Facility, subject to certain permitted liens and other agreed upon exceptions.</w:t>
      </w:r>
    </w:p>
    <w:p>
      <w:pPr>
        <w:spacing w:after="0" w:line="19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December 31, 2024 and December 31, 2023 the Company recognized interest expenses in the amounts of USD 315 thousand, USD 2,278 thousand and USD 6,854 thousand, respectively. Total interest paid during the year ended December 31, 2025, December 31, 2024, and December 31, 2023, were USD 322 thousand, USD 3,959 thousand, and USD 6,601 thousand,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REVENUES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114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36"/>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9"/>
              </w:rPr>
              <w:t>USD thousands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Programmatic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340,627</w:t>
            </w:r>
          </w:p>
        </w:tc>
        <w:tc>
          <w:tcPr>
            <w:tcW w:w="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324,466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299,005</w:t>
            </w:r>
          </w:p>
        </w:tc>
      </w:tr>
      <w:tr>
        <w:trPr>
          <w:trHeight w:val="237"/>
        </w:trPr>
        <w:tc>
          <w:tcPr>
            <w:tcW w:w="1140" w:type="dxa"/>
            <w:vAlign w:val="bottom"/>
          </w:tcPr>
          <w:p>
            <w:pPr>
              <w:spacing w:after="0"/>
              <w:rPr>
                <w:sz w:val="20"/>
                <w:szCs w:val="20"/>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41,011</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32,988</w:t>
            </w:r>
          </w:p>
        </w:tc>
      </w:tr>
      <w:tr>
        <w:trPr>
          <w:trHeight w:val="216"/>
        </w:trPr>
        <w:tc>
          <w:tcPr>
            <w:tcW w:w="114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364,780</w:t>
            </w:r>
          </w:p>
        </w:tc>
        <w:tc>
          <w:tcPr>
            <w:tcW w:w="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365,477</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331,993</w:t>
            </w: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20"/>
        <w:spacing w:after="0" w:line="297" w:lineRule="auto"/>
        <w:rPr>
          <w:sz w:val="20"/>
          <w:szCs w:val="20"/>
          <w:color w:val="auto"/>
        </w:rPr>
      </w:pPr>
      <w:r>
        <w:rPr>
          <w:rFonts w:ascii="Times New Roman" w:cs="Times New Roman" w:eastAsia="Times New Roman" w:hAnsi="Times New Roman"/>
          <w:sz w:val="18"/>
          <w:szCs w:val="18"/>
          <w:color w:val="auto"/>
        </w:rPr>
        <w:t>For the year ending December 31, 2025, two buyers represent 12.1% and 11.3% of revenue. For the year ended December 31, 2024, one buyer represents 11.5% of revenue. For the year ending December 31, 2023, no individual buyer accounted for more than 10% of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COST OF REVENUES</w:t>
            </w:r>
          </w:p>
        </w:tc>
        <w:tc>
          <w:tcPr>
            <w:tcW w:w="2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3"/>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5"/>
        </w:trPr>
        <w:tc>
          <w:tcPr>
            <w:tcW w:w="1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9"/>
              </w:rPr>
              <w:t>USD thousands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Programmatic</w:t>
            </w:r>
          </w:p>
        </w:tc>
        <w:tc>
          <w:tcPr>
            <w:tcW w:w="3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43,250</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38,942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44,385</w:t>
            </w:r>
          </w:p>
        </w:tc>
        <w:tc>
          <w:tcPr>
            <w:tcW w:w="102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w:t>
            </w:r>
          </w:p>
        </w:tc>
        <w:tc>
          <w:tcPr>
            <w:tcW w:w="29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22,078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17,885</w:t>
            </w: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61,020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62,270</w:t>
            </w:r>
          </w:p>
        </w:tc>
        <w:tc>
          <w:tcPr>
            <w:tcW w:w="102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4"/>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 - 31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GENERAL AND ADMINISTRATIVE EXPENSES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14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USD thousands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Wages, salaries and related expenses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23,419</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21,835</w:t>
            </w:r>
          </w:p>
        </w:tc>
      </w:tr>
      <w:tr>
        <w:trPr>
          <w:trHeight w:val="230"/>
        </w:trPr>
        <w:tc>
          <w:tcPr>
            <w:tcW w:w="1140" w:type="dxa"/>
            <w:vAlign w:val="bottom"/>
          </w:tcPr>
          <w:p>
            <w:pPr>
              <w:spacing w:after="0"/>
              <w:rPr>
                <w:sz w:val="19"/>
                <w:szCs w:val="19"/>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base payments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4,314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12,121</w:t>
            </w:r>
          </w:p>
        </w:tc>
      </w:tr>
      <w:tr>
        <w:trPr>
          <w:trHeight w:val="229"/>
        </w:trPr>
        <w:tc>
          <w:tcPr>
            <w:tcW w:w="1140" w:type="dxa"/>
            <w:vAlign w:val="bottom"/>
          </w:tcPr>
          <w:p>
            <w:pPr>
              <w:spacing w:after="0"/>
              <w:rPr>
                <w:sz w:val="19"/>
                <w:szCs w:val="19"/>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 and office maintenance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2,432</w:t>
            </w:r>
          </w:p>
        </w:tc>
      </w:tr>
      <w:tr>
        <w:trPr>
          <w:trHeight w:val="229"/>
        </w:trPr>
        <w:tc>
          <w:tcPr>
            <w:tcW w:w="1140" w:type="dxa"/>
            <w:vAlign w:val="bottom"/>
          </w:tcPr>
          <w:p>
            <w:pPr>
              <w:spacing w:after="0"/>
              <w:rPr>
                <w:sz w:val="19"/>
                <w:szCs w:val="19"/>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expenses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9,935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7,686</w:t>
            </w:r>
          </w:p>
        </w:tc>
      </w:tr>
      <w:tr>
        <w:trPr>
          <w:trHeight w:val="230"/>
        </w:trPr>
        <w:tc>
          <w:tcPr>
            <w:tcW w:w="1140" w:type="dxa"/>
            <w:vAlign w:val="bottom"/>
          </w:tcPr>
          <w:p>
            <w:pPr>
              <w:spacing w:after="0"/>
              <w:rPr>
                <w:sz w:val="19"/>
                <w:szCs w:val="19"/>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Doubtful debts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4,337</w:t>
            </w:r>
          </w:p>
        </w:tc>
      </w:tr>
      <w:tr>
        <w:trPr>
          <w:trHeight w:val="229"/>
        </w:trPr>
        <w:tc>
          <w:tcPr>
            <w:tcW w:w="1140" w:type="dxa"/>
            <w:vAlign w:val="bottom"/>
          </w:tcPr>
          <w:p>
            <w:pPr>
              <w:spacing w:after="0"/>
              <w:rPr>
                <w:sz w:val="19"/>
                <w:szCs w:val="19"/>
                <w:color w:val="auto"/>
              </w:rPr>
            </w:pPr>
          </w:p>
        </w:tc>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r>
      <w:tr>
        <w:trPr>
          <w:trHeight w:val="237"/>
        </w:trPr>
        <w:tc>
          <w:tcPr>
            <w:tcW w:w="1140" w:type="dxa"/>
            <w:vAlign w:val="bottom"/>
          </w:tcPr>
          <w:p>
            <w:pPr>
              <w:spacing w:after="0"/>
              <w:rPr>
                <w:sz w:val="20"/>
                <w:szCs w:val="20"/>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114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59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41,237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51,051</w:t>
            </w:r>
          </w:p>
        </w:tc>
      </w:tr>
      <w:tr>
        <w:trPr>
          <w:trHeight w:val="20"/>
        </w:trPr>
        <w:tc>
          <w:tcPr>
            <w:tcW w:w="114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15:  SHAREHOLDERS’ EQUITY</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0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Reverse Spilt and Change in par value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11" w:lineRule="exact"/>
        <w:rPr>
          <w:sz w:val="20"/>
          <w:szCs w:val="20"/>
          <w:color w:val="auto"/>
        </w:rPr>
      </w:pPr>
    </w:p>
    <w:p>
      <w:pPr>
        <w:jc w:val="both"/>
        <w:ind w:left="1020"/>
        <w:spacing w:after="0" w:line="271" w:lineRule="auto"/>
        <w:rPr>
          <w:sz w:val="20"/>
          <w:szCs w:val="20"/>
          <w:color w:val="auto"/>
        </w:rPr>
      </w:pPr>
      <w:r>
        <w:rPr>
          <w:rFonts w:ascii="Times New Roman" w:cs="Times New Roman" w:eastAsia="Times New Roman" w:hAnsi="Times New Roman"/>
          <w:sz w:val="18"/>
          <w:szCs w:val="18"/>
          <w:color w:val="auto"/>
        </w:rPr>
        <w:t>On December 20, 2024, the shareholders approved a change of the Company’s Nasdaq-listed ADRs for Nasdaq-listed Ordinary Shares and terminated the ADR facility as well as a reverse stock split and change in the par value of the Ordinary Shares. As such, prior period share amounts have been retroactively adjusted to reflect the two-for-one ratio Reverse Split and the changes in par value from NIS 0.01 to NIS 0.02 effected on February 14, 2025. See also Note 1b for details.</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Issued and paid-in share capital</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9"/>
        </w:trPr>
        <w:tc>
          <w:tcPr>
            <w:tcW w:w="1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Ordinary Shares</w:t>
            </w:r>
          </w:p>
        </w:tc>
      </w:tr>
      <w:tr>
        <w:trPr>
          <w:trHeight w:val="237"/>
        </w:trPr>
        <w:tc>
          <w:tcPr>
            <w:tcW w:w="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1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65,562,670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73,081,005</w:t>
            </w:r>
          </w:p>
        </w:tc>
      </w:tr>
      <w:tr>
        <w:trPr>
          <w:trHeight w:val="230"/>
        </w:trPr>
        <w:tc>
          <w:tcPr>
            <w:tcW w:w="1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Own shares repurchased by the Group</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(10,840,359)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(9,137,532)</w:t>
            </w:r>
          </w:p>
        </w:tc>
      </w:tr>
      <w:tr>
        <w:trPr>
          <w:trHeight w:val="237"/>
        </w:trPr>
        <w:tc>
          <w:tcPr>
            <w:tcW w:w="1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1,561,772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1,619,197</w:t>
            </w:r>
          </w:p>
        </w:tc>
      </w:tr>
      <w:tr>
        <w:trPr>
          <w:trHeight w:val="216"/>
        </w:trPr>
        <w:tc>
          <w:tcPr>
            <w:tcW w:w="12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70"/>
        </w:trPr>
        <w:tc>
          <w:tcPr>
            <w:tcW w:w="120" w:type="dxa"/>
            <w:vAlign w:val="bottom"/>
          </w:tcPr>
          <w:p>
            <w:pPr>
              <w:spacing w:after="0"/>
              <w:rPr>
                <w:sz w:val="23"/>
                <w:szCs w:val="23"/>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paid-in share capital as of December 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56,284,083</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65,562,670</w:t>
            </w:r>
          </w:p>
        </w:tc>
      </w:tr>
      <w:tr>
        <w:trPr>
          <w:trHeight w:val="210"/>
        </w:trPr>
        <w:tc>
          <w:tcPr>
            <w:tcW w:w="12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120" w:type="dxa"/>
            <w:vAlign w:val="bottom"/>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 capital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250,000,000</w:t>
            </w:r>
          </w:p>
        </w:tc>
      </w:tr>
      <w:tr>
        <w:trPr>
          <w:trHeight w:val="20"/>
        </w:trPr>
        <w:tc>
          <w:tcPr>
            <w:tcW w:w="12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25"/>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Rights attached to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5"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The holders of ordinary shares are entitled to receive dividends as declared from time to time and are entitled to one vote per share at general meetings of the Company. All shares rank equally with regard to the Company’s residual assets.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Own shares acquisition</w:t>
      </w:r>
    </w:p>
    <w:p>
      <w:pPr>
        <w:spacing w:after="0" w:line="256"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On May 7, 2024, the Company launched a USD 50 million Ordinary Share repurchase program. The repurchase program commenced on May 7, 2024, and was completed on November 1, 2024.</w:t>
      </w:r>
    </w:p>
    <w:p>
      <w:pPr>
        <w:spacing w:after="0" w:line="189" w:lineRule="exact"/>
        <w:rPr>
          <w:sz w:val="20"/>
          <w:szCs w:val="20"/>
          <w:color w:val="auto"/>
        </w:rPr>
      </w:pPr>
    </w:p>
    <w:p>
      <w:pPr>
        <w:ind w:left="1020" w:right="20"/>
        <w:spacing w:after="0" w:line="282" w:lineRule="auto"/>
        <w:rPr>
          <w:sz w:val="20"/>
          <w:szCs w:val="20"/>
          <w:color w:val="auto"/>
        </w:rPr>
      </w:pPr>
      <w:r>
        <w:rPr>
          <w:rFonts w:ascii="Times New Roman" w:cs="Times New Roman" w:eastAsia="Times New Roman" w:hAnsi="Times New Roman"/>
          <w:sz w:val="18"/>
          <w:szCs w:val="18"/>
          <w:color w:val="auto"/>
        </w:rPr>
        <w:t>On November 19, 2024, the Company launched a USD 50 million Ordinary Share repurchase program. The repurchase program commenced on November 19, 2024, and was completed on April 9, 2025.</w:t>
      </w:r>
    </w:p>
    <w:p>
      <w:pPr>
        <w:spacing w:after="0" w:line="189"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On April 9, 2025, the Company launched a USD 50 million Ordinary Share repurchase program. The repurchase program commenced on April 9, 2025, and was completed on September 18, 2025.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SHAREHOLDERS’ EQUITY (Cont.)</w:t>
      </w:r>
    </w:p>
    <w:p>
      <w:pPr>
        <w:spacing w:after="0" w:line="229" w:lineRule="exact"/>
        <w:rPr>
          <w:sz w:val="20"/>
          <w:szCs w:val="20"/>
          <w:color w:val="auto"/>
        </w:rPr>
      </w:pPr>
    </w:p>
    <w:p>
      <w:pPr>
        <w:jc w:val="both"/>
        <w:ind w:left="1020"/>
        <w:spacing w:after="0" w:line="297" w:lineRule="auto"/>
        <w:rPr>
          <w:sz w:val="20"/>
          <w:szCs w:val="20"/>
          <w:color w:val="auto"/>
        </w:rPr>
      </w:pPr>
      <w:r>
        <w:rPr>
          <w:rFonts w:ascii="Times New Roman" w:cs="Times New Roman" w:eastAsia="Times New Roman" w:hAnsi="Times New Roman"/>
          <w:sz w:val="18"/>
          <w:szCs w:val="18"/>
          <w:color w:val="auto"/>
        </w:rPr>
        <w:t>On September 19, 2025, the Company launched a USD 20 million Ordinary Share repurchase program. The repurchase program commenced on September 19, 2025, and will continue until the earlier of March 19, 2026, or until it will be completed.</w:t>
      </w:r>
    </w:p>
    <w:p>
      <w:pPr>
        <w:spacing w:after="0" w:line="163" w:lineRule="exact"/>
        <w:rPr>
          <w:sz w:val="20"/>
          <w:szCs w:val="20"/>
          <w:color w:val="auto"/>
        </w:rPr>
      </w:pPr>
    </w:p>
    <w:p>
      <w:pPr>
        <w:jc w:val="both"/>
        <w:ind w:left="1020"/>
        <w:spacing w:after="0" w:line="281" w:lineRule="auto"/>
        <w:rPr>
          <w:sz w:val="20"/>
          <w:szCs w:val="20"/>
          <w:color w:val="auto"/>
        </w:rPr>
      </w:pPr>
      <w:r>
        <w:rPr>
          <w:rFonts w:ascii="Times New Roman" w:cs="Times New Roman" w:eastAsia="Times New Roman" w:hAnsi="Times New Roman"/>
          <w:sz w:val="18"/>
          <w:szCs w:val="18"/>
          <w:color w:val="auto"/>
        </w:rPr>
        <w:t>During 2025 and 2024, the Company repurchased 10,840,359 and 9,137,532 ordinary shares in aggregate amount of USD 100.8 and USD 61.7 million, respectively, which were financed by existing cash resources. As of December 31, 2025, USD 148 thousand of the repurchases amount have not been paid yet (2024: USD 1 million).</w:t>
      </w:r>
    </w:p>
    <w:p>
      <w:pPr>
        <w:spacing w:after="0" w:line="177" w:lineRule="exact"/>
        <w:rPr>
          <w:sz w:val="20"/>
          <w:szCs w:val="20"/>
          <w:color w:val="auto"/>
        </w:rPr>
      </w:pPr>
    </w:p>
    <w:p>
      <w:pPr>
        <w:jc w:val="both"/>
        <w:ind w:left="1020"/>
        <w:spacing w:after="0" w:line="297" w:lineRule="auto"/>
        <w:rPr>
          <w:sz w:val="20"/>
          <w:szCs w:val="20"/>
          <w:color w:val="auto"/>
        </w:rPr>
      </w:pPr>
      <w:r>
        <w:rPr>
          <w:rFonts w:ascii="Times New Roman" w:cs="Times New Roman" w:eastAsia="Times New Roman" w:hAnsi="Times New Roman"/>
          <w:sz w:val="18"/>
          <w:szCs w:val="18"/>
          <w:color w:val="auto"/>
        </w:rPr>
        <w:t>On November 20, 2025, our board of directors authorized an additional share repurchase program authorizing the repurchase of up to USD 40 million of Shares. The new repurchase plan will commence upon completion of the ongoing existing repurchase plan.</w:t>
      </w:r>
    </w:p>
    <w:p>
      <w:pPr>
        <w:spacing w:after="0" w:line="14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16:</w:t>
        <w:tab/>
        <w:t>EARNINGS (LOSS) PER SHARE</w:t>
      </w:r>
    </w:p>
    <w:p>
      <w:pPr>
        <w:spacing w:after="0" w:line="2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p>
      <w:pPr>
        <w:spacing w:after="0" w:line="243" w:lineRule="exact"/>
        <w:rPr>
          <w:sz w:val="20"/>
          <w:szCs w:val="20"/>
          <w:color w:val="auto"/>
        </w:rPr>
      </w:pPr>
    </w:p>
    <w:p>
      <w:pPr>
        <w:jc w:val="both"/>
        <w:ind w:left="1020" w:right="20"/>
        <w:spacing w:after="0" w:line="297" w:lineRule="auto"/>
        <w:rPr>
          <w:sz w:val="20"/>
          <w:szCs w:val="20"/>
          <w:color w:val="auto"/>
        </w:rPr>
      </w:pPr>
      <w:r>
        <w:rPr>
          <w:rFonts w:ascii="Times New Roman" w:cs="Times New Roman" w:eastAsia="Times New Roman" w:hAnsi="Times New Roman"/>
          <w:sz w:val="18"/>
          <w:szCs w:val="18"/>
          <w:color w:val="auto"/>
        </w:rPr>
        <w:t>The calculation of basic earnings (loss) per share as for the year ending December 31, 2025, 2024 and 2023 was based on the profit (loss) for the year divided by a weighted average number of ordinary shares outstanding, calculated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Profit (loss) for the year:</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89"/>
              </w:rPr>
              <w:t>USD thousands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Profit (loss) for the year</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35,437</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(21,487)</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NIS 0.02 par value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ordinary shares used to calculate basic earnings</w:t>
            </w: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59,776,574</w:t>
            </w:r>
          </w:p>
        </w:tc>
        <w:tc>
          <w:tcPr>
            <w:tcW w:w="160" w:type="dxa"/>
            <w:vAlign w:val="bottom"/>
            <w:vMerge w:val="restart"/>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68,989,845</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71,794,594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3"/>
                <w:szCs w:val="23"/>
                <w:color w:val="auto"/>
              </w:rPr>
            </w:pPr>
          </w:p>
        </w:tc>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per share as at December 31</w:t>
            </w:r>
          </w:p>
        </w:tc>
        <w:tc>
          <w:tcPr>
            <w:tcW w:w="940" w:type="dxa"/>
            <w:vAlign w:val="bottom"/>
            <w:tcBorders>
              <w:right w:val="single" w:sz="8" w:color="CCEEFF"/>
            </w:tcBorders>
            <w:vMerge w:val="continue"/>
            <w:shd w:val="clear" w:color="auto" w:fill="CCEEFF"/>
          </w:tcPr>
          <w:p>
            <w:pPr>
              <w:spacing w:after="0"/>
              <w:rPr>
                <w:sz w:val="23"/>
                <w:szCs w:val="23"/>
                <w:color w:val="auto"/>
              </w:rPr>
            </w:pPr>
          </w:p>
        </w:tc>
        <w:tc>
          <w:tcPr>
            <w:tcW w:w="160" w:type="dxa"/>
            <w:vAlign w:val="bottom"/>
            <w:vMerge w:val="continue"/>
            <w:shd w:val="clear" w:color="auto" w:fill="CCEEFF"/>
          </w:tcPr>
          <w:p>
            <w:pPr>
              <w:spacing w:after="0"/>
              <w:rPr>
                <w:sz w:val="23"/>
                <w:szCs w:val="23"/>
                <w:color w:val="auto"/>
              </w:rPr>
            </w:pPr>
          </w:p>
        </w:tc>
        <w:tc>
          <w:tcPr>
            <w:tcW w:w="1100" w:type="dxa"/>
            <w:vAlign w:val="bottom"/>
            <w:gridSpan w:val="2"/>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(loss) per share (in USD)</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(0.30)</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5920" w:type="dxa"/>
            <w:vAlign w:val="bottom"/>
            <w:tcBorders>
              <w:top w:val="single" w:sz="8" w:color="CCEEFF"/>
            </w:tcBorders>
          </w:tcPr>
          <w:p>
            <w:pPr>
              <w:ind w:left="4260"/>
              <w:spacing w:after="0"/>
              <w:rPr>
                <w:sz w:val="20"/>
                <w:szCs w:val="20"/>
                <w:color w:val="auto"/>
              </w:rPr>
            </w:pPr>
            <w:r>
              <w:rPr>
                <w:rFonts w:ascii="Times New Roman" w:cs="Times New Roman" w:eastAsia="Times New Roman" w:hAnsi="Times New Roman"/>
                <w:sz w:val="18"/>
                <w:szCs w:val="18"/>
                <w:color w:val="auto"/>
              </w:rPr>
              <w:t>F - 33</w:t>
            </w: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16:</w:t>
        <w:tab/>
        <w:t>EARNINGS (LOSS) PER SHARE (Cont.)</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p>
      <w:pPr>
        <w:spacing w:after="0" w:line="256" w:lineRule="exact"/>
        <w:rPr>
          <w:sz w:val="20"/>
          <w:szCs w:val="20"/>
          <w:color w:val="auto"/>
        </w:rPr>
      </w:pPr>
    </w:p>
    <w:p>
      <w:pPr>
        <w:jc w:val="both"/>
        <w:ind w:left="1020"/>
        <w:spacing w:after="0" w:line="274" w:lineRule="auto"/>
        <w:rPr>
          <w:sz w:val="20"/>
          <w:szCs w:val="20"/>
          <w:color w:val="auto"/>
        </w:rPr>
      </w:pPr>
      <w:r>
        <w:rPr>
          <w:rFonts w:ascii="Times New Roman" w:cs="Times New Roman" w:eastAsia="Times New Roman" w:hAnsi="Times New Roman"/>
          <w:sz w:val="18"/>
          <w:szCs w:val="18"/>
          <w:color w:val="auto"/>
        </w:rPr>
        <w:t>The calculation of diluted earnings (loss) per share as of December 31, 2025, 2024 and 2023 was based on profit (loss) for the year divided by a weighted average number of shares outstanding after adjustment for the effects of all dilutive potential ordinary shares, calculated as follows:</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(diluted):</w:t>
      </w:r>
    </w:p>
    <w:p>
      <w:pPr>
        <w:spacing w:after="0" w:line="25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59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r>
      <w:tr>
        <w:trPr>
          <w:trHeight w:val="237"/>
        </w:trPr>
        <w:tc>
          <w:tcPr>
            <w:tcW w:w="59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NIS 0.02 par value</w:t>
            </w:r>
          </w:p>
        </w:tc>
      </w:tr>
      <w:tr>
        <w:trPr>
          <w:trHeight w:val="216"/>
        </w:trPr>
        <w:tc>
          <w:tcPr>
            <w:tcW w:w="59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92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to calculate basic earnings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59,776,574</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68,989,845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71,794,594</w:t>
            </w:r>
          </w:p>
        </w:tc>
      </w:tr>
      <w:tr>
        <w:trPr>
          <w:trHeight w:val="237"/>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share options on issue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1,286,984</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1,098,564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9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to calculate diluted earnings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 share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61,063,558</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70,088,409</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71,794,594</w:t>
            </w:r>
          </w:p>
        </w:tc>
      </w:tr>
      <w:tr>
        <w:trPr>
          <w:trHeight w:val="27"/>
        </w:trPr>
        <w:tc>
          <w:tcPr>
            <w:tcW w:w="592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5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30"/>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per share (in USD)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5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line="297" w:lineRule="auto"/>
        <w:rPr>
          <w:sz w:val="20"/>
          <w:szCs w:val="20"/>
          <w:color w:val="auto"/>
        </w:rPr>
      </w:pPr>
      <w:r>
        <w:rPr>
          <w:rFonts w:ascii="Times New Roman" w:cs="Times New Roman" w:eastAsia="Times New Roman" w:hAnsi="Times New Roman"/>
          <w:sz w:val="18"/>
          <w:szCs w:val="18"/>
          <w:color w:val="auto"/>
        </w:rPr>
        <w:t>At December 31, 2025, 2,688 thousand share options, RSUs and PSUs (in 2024 and 2023: 3,088 thousand and 3,374 thousand, respectively) were excluded from the diluted weighted average number of ordinary shares calculation as their effect would have been anti-dilutive.</w:t>
      </w:r>
    </w:p>
    <w:p>
      <w:pPr>
        <w:spacing w:after="0" w:line="15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SHARE-BASED COMPENSATION ARRANGEMENTS</w:t>
      </w:r>
    </w:p>
    <w:p>
      <w:pPr>
        <w:spacing w:after="0" w:line="225" w:lineRule="exact"/>
        <w:rPr>
          <w:sz w:val="20"/>
          <w:szCs w:val="20"/>
          <w:color w:val="auto"/>
        </w:rPr>
      </w:pPr>
    </w:p>
    <w:p>
      <w:pPr>
        <w:ind w:left="1520" w:hanging="500"/>
        <w:spacing w:after="0"/>
        <w:tabs>
          <w:tab w:leader="none" w:pos="1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plan:</w:t>
      </w:r>
    </w:p>
    <w:p>
      <w:pPr>
        <w:spacing w:after="0" w:line="24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related to the grants of the share-based compensation plan are as follows:</w:t>
      </w:r>
    </w:p>
    <w:p>
      <w:pPr>
        <w:spacing w:after="0" w:line="238" w:lineRule="exact"/>
        <w:rPr>
          <w:rFonts w:ascii="Times New Roman" w:cs="Times New Roman" w:eastAsia="Times New Roman" w:hAnsi="Times New Roman"/>
          <w:sz w:val="18"/>
          <w:szCs w:val="18"/>
          <w:b w:val="1"/>
          <w:bCs w:val="1"/>
          <w:color w:val="auto"/>
        </w:rPr>
      </w:pPr>
    </w:p>
    <w:p>
      <w:pPr>
        <w:ind w:left="1840" w:hanging="307"/>
        <w:spacing w:after="0"/>
        <w:tabs>
          <w:tab w:leader="none" w:pos="18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share-based compensation that were granted are non-marketable.</w:t>
      </w:r>
    </w:p>
    <w:p>
      <w:pPr>
        <w:spacing w:after="0" w:line="27" w:lineRule="exact"/>
        <w:rPr>
          <w:rFonts w:ascii="Times New Roman" w:cs="Times New Roman" w:eastAsia="Times New Roman" w:hAnsi="Times New Roman"/>
          <w:sz w:val="18"/>
          <w:szCs w:val="18"/>
          <w:color w:val="auto"/>
        </w:rPr>
      </w:pPr>
    </w:p>
    <w:p>
      <w:pPr>
        <w:ind w:left="1840" w:right="20" w:hanging="307"/>
        <w:spacing w:after="0" w:line="250" w:lineRule="auto"/>
        <w:tabs>
          <w:tab w:leader="none" w:pos="18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February 14, 2025, all share-based compensation are to be settled by physical delivery of ADS. Starting February 18, 2025, all share-based compensation are to be settled by physical delivery of Ordinary Shares.</w:t>
      </w:r>
    </w:p>
    <w:p>
      <w:pPr>
        <w:ind w:left="1840" w:hanging="307"/>
        <w:spacing w:after="0"/>
        <w:tabs>
          <w:tab w:leader="none" w:pos="18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Vesting conditions are based on a service period of between 0.5-4 years.</w:t>
      </w:r>
    </w:p>
    <w:p>
      <w:pPr>
        <w:spacing w:after="0" w:line="9" w:lineRule="exact"/>
        <w:rPr>
          <w:rFonts w:ascii="Times New Roman" w:cs="Times New Roman" w:eastAsia="Times New Roman" w:hAnsi="Times New Roman"/>
          <w:sz w:val="18"/>
          <w:szCs w:val="18"/>
          <w:color w:val="auto"/>
        </w:rPr>
      </w:pPr>
    </w:p>
    <w:p>
      <w:pPr>
        <w:ind w:left="1840" w:hanging="307"/>
        <w:spacing w:after="0"/>
        <w:tabs>
          <w:tab w:leader="none" w:pos="18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1,631,192 Shares were available for future issuance under the Company’s equity incentive plans.</w:t>
      </w:r>
    </w:p>
    <w:p>
      <w:pPr>
        <w:spacing w:after="0" w:line="216"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 options is as follows: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7"/>
          <w:szCs w:val="17"/>
          <w:b w:val="1"/>
          <w:bCs w:val="1"/>
          <w:color w:val="auto"/>
        </w:rPr>
        <w:t>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35560</wp:posOffset>
            </wp:positionV>
            <wp:extent cx="12344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41" w:lineRule="exact"/>
        <w:rPr>
          <w:sz w:val="20"/>
          <w:szCs w:val="20"/>
          <w:color w:val="auto"/>
        </w:rPr>
      </w:pPr>
    </w:p>
    <w:p>
      <w:pPr>
        <w:ind w:left="6480"/>
        <w:spacing w:after="0"/>
        <w:tabs>
          <w:tab w:leader="none" w:pos="75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28575</wp:posOffset>
            </wp:positionV>
            <wp:extent cx="12344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3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28575</wp:posOffset>
            </wp:positionV>
            <wp:extent cx="12344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Weighted average</w:t>
      </w:r>
    </w:p>
    <w:p>
      <w:pPr>
        <w:spacing w:after="0" w:line="43"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14605</wp:posOffset>
            </wp:positionV>
            <wp:extent cx="118300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1183005" cy="17145"/>
                    </a:xfrm>
                    <a:prstGeom prst="rect">
                      <a:avLst/>
                    </a:prstGeom>
                    <a:noFill/>
                  </pic:spPr>
                </pic:pic>
              </a:graphicData>
            </a:graphic>
          </wp:anchor>
        </w:drawing>
      </w:r>
    </w:p>
    <w:p>
      <w:pPr>
        <w:spacing w:after="0" w:line="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28575</wp:posOffset>
            </wp:positionV>
            <wp:extent cx="118300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118300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28575</wp:posOffset>
            </wp:positionV>
            <wp:extent cx="118300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118300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660"/>
            <w:col w:w="2680"/>
          </w:cols>
          <w:pgMar w:left="320" w:top="333" w:right="339" w:bottom="1440" w:gutter="0" w:footer="0" w:header="0"/>
          <w:type w:val="continuous"/>
        </w:sectPr>
      </w:pPr>
    </w:p>
    <w:p>
      <w:pPr>
        <w:spacing w:after="0" w:line="88"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of 1 January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1,852</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17.83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20.07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4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of December 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1,368</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15.37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of December 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right="300"/>
        <w:spacing w:after="0" w:line="297" w:lineRule="auto"/>
        <w:rPr>
          <w:sz w:val="20"/>
          <w:szCs w:val="20"/>
          <w:color w:val="auto"/>
        </w:rPr>
      </w:pPr>
      <w:r>
        <w:rPr>
          <w:rFonts w:ascii="Times New Roman" w:cs="Times New Roman" w:eastAsia="Times New Roman" w:hAnsi="Times New Roman"/>
          <w:sz w:val="18"/>
          <w:szCs w:val="18"/>
          <w:color w:val="auto"/>
        </w:rPr>
        <w:t>The total expense recognized in the year ended December 31, 2025, with respect to the options granted to employees, amounted to approximately USD 308 thousand (2024: USD 912 thousand).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SHARE-BASED COMPENSATION ARRANGEMENTS (Cont.)</w:t>
      </w:r>
    </w:p>
    <w:p>
      <w:pPr>
        <w:spacing w:after="0" w:line="225" w:lineRule="exact"/>
        <w:rPr>
          <w:sz w:val="20"/>
          <w:szCs w:val="20"/>
          <w:color w:val="auto"/>
        </w:rPr>
      </w:pPr>
    </w:p>
    <w:p>
      <w:pPr>
        <w:ind w:left="1520" w:hanging="500"/>
        <w:spacing w:after="0"/>
        <w:tabs>
          <w:tab w:leader="none" w:pos="1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p>
    <w:p>
      <w:pPr>
        <w:spacing w:after="0" w:line="242" w:lineRule="exact"/>
        <w:rPr>
          <w:rFonts w:ascii="Times New Roman" w:cs="Times New Roman" w:eastAsia="Times New Roman" w:hAnsi="Times New Roman"/>
          <w:sz w:val="18"/>
          <w:szCs w:val="18"/>
          <w:b w:val="1"/>
          <w:bCs w:val="1"/>
          <w:color w:val="auto"/>
        </w:rPr>
      </w:pPr>
    </w:p>
    <w:p>
      <w:pPr>
        <w:ind w:left="1540" w:right="2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2025 and 2024, the Group granted 2,534,753 and 2,454,034 Restricted Stock Units (RSUs) to its executive officers and employees, respectively.</w:t>
      </w:r>
    </w:p>
    <w:p>
      <w:pPr>
        <w:spacing w:after="0" w:line="16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restricted stock units is as follows:</w:t>
      </w:r>
    </w:p>
    <w:p>
      <w:pPr>
        <w:spacing w:after="0" w:line="235"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1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100" w:type="dxa"/>
            <w:vAlign w:val="bottom"/>
            <w:gridSpan w:val="4"/>
            <w:vMerge w:val="continue"/>
          </w:tcPr>
          <w:p>
            <w:pPr>
              <w:spacing w:after="0"/>
              <w:rPr>
                <w:sz w:val="21"/>
                <w:szCs w:val="21"/>
                <w:color w:val="auto"/>
              </w:rPr>
            </w:pPr>
          </w:p>
        </w:tc>
        <w:tc>
          <w:tcPr>
            <w:tcW w:w="19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20"/>
                <w:szCs w:val="20"/>
                <w:color w:val="auto"/>
              </w:rPr>
            </w:pPr>
          </w:p>
        </w:tc>
        <w:tc>
          <w:tcPr>
            <w:tcW w:w="11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The total expense recognized in the year ended December 31, 2025, with respect to the RSUs granted to employees, amounted to approximately USD 15,099 thousand (2024: USD 8,543 thousand).</w:t>
      </w:r>
    </w:p>
    <w:p>
      <w:pPr>
        <w:spacing w:after="0" w:line="159" w:lineRule="exact"/>
        <w:rPr>
          <w:sz w:val="20"/>
          <w:szCs w:val="20"/>
          <w:color w:val="auto"/>
        </w:rPr>
      </w:pPr>
    </w:p>
    <w:p>
      <w:pPr>
        <w:ind w:left="1520" w:hanging="500"/>
        <w:spacing w:after="0"/>
        <w:tabs>
          <w:tab w:leader="none" w:pos="1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Share Units:</w:t>
      </w:r>
    </w:p>
    <w:p>
      <w:pPr>
        <w:spacing w:after="0" w:line="242" w:lineRule="exact"/>
        <w:rPr>
          <w:rFonts w:ascii="Times New Roman" w:cs="Times New Roman" w:eastAsia="Times New Roman" w:hAnsi="Times New Roman"/>
          <w:sz w:val="18"/>
          <w:szCs w:val="18"/>
          <w:b w:val="1"/>
          <w:bCs w:val="1"/>
          <w:color w:val="auto"/>
        </w:rPr>
      </w:pPr>
    </w:p>
    <w:p>
      <w:pPr>
        <w:ind w:left="1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2025 and 2024, the Group granted 246,849 and 381,447 Performance Share Units (PSUs) to its executive officers, respectively.</w:t>
      </w:r>
    </w:p>
    <w:p>
      <w:pPr>
        <w:spacing w:after="0" w:line="18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performance share units is as follows:</w:t>
      </w:r>
    </w:p>
    <w:p>
      <w:pPr>
        <w:spacing w:after="0" w:line="235"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59"/>
        </w:trPr>
        <w:tc>
          <w:tcPr>
            <w:tcW w:w="4600" w:type="dxa"/>
            <w:vAlign w:val="bottom"/>
          </w:tcPr>
          <w:p>
            <w:pPr>
              <w:spacing w:after="0"/>
              <w:rPr>
                <w:sz w:val="22"/>
                <w:szCs w:val="22"/>
                <w:color w:val="auto"/>
              </w:rPr>
            </w:pPr>
          </w:p>
        </w:tc>
        <w:tc>
          <w:tcPr>
            <w:tcW w:w="21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PSU’s</w:t>
            </w:r>
          </w:p>
        </w:tc>
        <w:tc>
          <w:tcPr>
            <w:tcW w:w="19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36"/>
        </w:trPr>
        <w:tc>
          <w:tcPr>
            <w:tcW w:w="46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20"/>
                <w:szCs w:val="20"/>
                <w:color w:val="auto"/>
              </w:rPr>
            </w:pPr>
          </w:p>
        </w:tc>
        <w:tc>
          <w:tcPr>
            <w:tcW w:w="11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3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16.48</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46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The vesting of the PSUs is subject to continuous employment and compliance with the Adjusted EBITDA and Relative TSR performance goals as determined by the Company’s Remuneration Committee and the Company’s Board of Directors.</w:t>
      </w:r>
    </w:p>
    <w:p>
      <w:pPr>
        <w:spacing w:after="0" w:line="163"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The total expense recognized in the year ended December 31, 2025, with respect to the PSUs granted to employees, amounted to approximately USD 2,641 thousand (2024: USD 2,005 thousand).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SHARE-BASED COMPENSATION ARRANGEMENTS (Cont.)</w:t>
      </w:r>
    </w:p>
    <w:p>
      <w:pPr>
        <w:spacing w:after="0" w:line="225" w:lineRule="exact"/>
        <w:rPr>
          <w:sz w:val="20"/>
          <w:szCs w:val="20"/>
          <w:color w:val="auto"/>
        </w:rPr>
      </w:pPr>
    </w:p>
    <w:p>
      <w:pPr>
        <w:ind w:left="1520" w:hanging="500"/>
        <w:spacing w:after="0"/>
        <w:tabs>
          <w:tab w:leader="none" w:pos="1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 recognized in the statement of operation and other comprehensive income is as follows: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56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64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7"/>
        </w:trPr>
        <w:tc>
          <w:tcPr>
            <w:tcW w:w="5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2"/>
              </w:rPr>
              <w:t>USD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4,216</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3,740</w:t>
            </w:r>
          </w:p>
        </w:tc>
      </w:tr>
      <w:tr>
        <w:trPr>
          <w:trHeight w:val="230"/>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2,930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3,308</w:t>
            </w:r>
          </w:p>
        </w:tc>
      </w:tr>
      <w:tr>
        <w:trPr>
          <w:trHeight w:val="237"/>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12,121</w:t>
            </w:r>
          </w:p>
        </w:tc>
      </w:tr>
      <w:tr>
        <w:trPr>
          <w:trHeight w:val="216"/>
        </w:trPr>
        <w:tc>
          <w:tcPr>
            <w:tcW w:w="56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0"/>
        </w:trPr>
        <w:tc>
          <w:tcPr>
            <w:tcW w:w="56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19,169</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18:</w:t>
        <w:tab/>
        <w:t>FINANCIAL INSTRUMENTS</w:t>
      </w:r>
    </w:p>
    <w:p>
      <w:pPr>
        <w:spacing w:after="0" w:line="239" w:lineRule="exact"/>
        <w:rPr>
          <w:sz w:val="20"/>
          <w:szCs w:val="20"/>
          <w:color w:val="auto"/>
        </w:rPr>
      </w:pPr>
    </w:p>
    <w:p>
      <w:pPr>
        <w:ind w:left="1520" w:hanging="500"/>
        <w:spacing w:after="0"/>
        <w:tabs>
          <w:tab w:leader="none" w:pos="15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4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exposure to the following risks from its use of financial instruments:</w:t>
      </w:r>
    </w:p>
    <w:p>
      <w:pPr>
        <w:spacing w:after="0" w:line="238" w:lineRule="exact"/>
        <w:rPr>
          <w:rFonts w:ascii="Times New Roman" w:cs="Times New Roman" w:eastAsia="Times New Roman" w:hAnsi="Times New Roman"/>
          <w:sz w:val="18"/>
          <w:szCs w:val="18"/>
          <w:b w:val="1"/>
          <w:bCs w:val="1"/>
          <w:color w:val="auto"/>
        </w:rPr>
      </w:pPr>
    </w:p>
    <w:p>
      <w:pPr>
        <w:ind w:left="2160" w:hanging="621"/>
        <w:spacing w:after="0"/>
        <w:tabs>
          <w:tab w:leader="none" w:pos="2160" w:val="left"/>
        </w:tabs>
        <w:numPr>
          <w:ilvl w:val="1"/>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Credit risk</w:t>
      </w:r>
    </w:p>
    <w:p>
      <w:pPr>
        <w:spacing w:after="0" w:line="42" w:lineRule="exact"/>
        <w:rPr>
          <w:rFonts w:ascii="MS PGothic" w:cs="MS PGothic" w:eastAsia="MS PGothic" w:hAnsi="MS PGothic"/>
          <w:sz w:val="18"/>
          <w:szCs w:val="18"/>
          <w:color w:val="auto"/>
        </w:rPr>
      </w:pPr>
    </w:p>
    <w:p>
      <w:pPr>
        <w:ind w:left="2160" w:hanging="621"/>
        <w:spacing w:after="0"/>
        <w:tabs>
          <w:tab w:leader="none" w:pos="2160" w:val="left"/>
        </w:tabs>
        <w:numPr>
          <w:ilvl w:val="1"/>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Liquidity risk</w:t>
      </w:r>
    </w:p>
    <w:p>
      <w:pPr>
        <w:spacing w:after="0" w:line="9" w:lineRule="exact"/>
        <w:rPr>
          <w:rFonts w:ascii="MS PGothic" w:cs="MS PGothic" w:eastAsia="MS PGothic" w:hAnsi="MS PGothic"/>
          <w:sz w:val="18"/>
          <w:szCs w:val="18"/>
          <w:color w:val="auto"/>
        </w:rPr>
      </w:pPr>
    </w:p>
    <w:p>
      <w:pPr>
        <w:ind w:left="2160" w:hanging="621"/>
        <w:spacing w:after="0"/>
        <w:tabs>
          <w:tab w:leader="none" w:pos="2160" w:val="left"/>
        </w:tabs>
        <w:numPr>
          <w:ilvl w:val="1"/>
          <w:numId w:val="10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Market risk</w:t>
      </w:r>
    </w:p>
    <w:p>
      <w:pPr>
        <w:spacing w:after="0" w:line="219"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This note presents quantitative and qualitative information about the Group’s exposure to each of the above risks, and the Group’s objectives, policies and processes for measuring and managing risk.</w:t>
      </w:r>
    </w:p>
    <w:p>
      <w:pPr>
        <w:spacing w:after="0" w:line="1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In order to manage these risks and as described hereunder, the Group executes transactions in derivative financial instruments.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Presented hereunder is the composition of the derivatives:</w:t>
      </w:r>
    </w:p>
    <w:p>
      <w:pPr>
        <w:spacing w:after="0" w:line="230" w:lineRule="exact"/>
        <w:rPr>
          <w:sz w:val="20"/>
          <w:szCs w:val="20"/>
          <w:color w:val="auto"/>
        </w:rPr>
      </w:pPr>
    </w:p>
    <w:tbl>
      <w:tblPr>
        <w:tblLayout w:type="fixed"/>
        <w:tblInd w:w="1620" w:type="dxa"/>
        <w:tblCellMar>
          <w:top w:w="0" w:type="dxa"/>
          <w:left w:w="0" w:type="dxa"/>
          <w:bottom w:w="0" w:type="dxa"/>
          <w:right w:w="0" w:type="dxa"/>
        </w:tblCellMar>
      </w:tblPr>
      <w:tr>
        <w:trPr>
          <w:trHeight w:val="259"/>
        </w:trPr>
        <w:tc>
          <w:tcPr>
            <w:tcW w:w="6680" w:type="dxa"/>
            <w:vAlign w:val="bottom"/>
          </w:tcPr>
          <w:p>
            <w:pPr>
              <w:spacing w:after="0"/>
              <w:rPr>
                <w:sz w:val="22"/>
                <w:szCs w:val="22"/>
                <w:color w:val="auto"/>
              </w:rPr>
            </w:pPr>
          </w:p>
        </w:tc>
        <w:tc>
          <w:tcPr>
            <w:tcW w:w="19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66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668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80" w:type="dxa"/>
            <w:vAlign w:val="bottom"/>
          </w:tcPr>
          <w:p>
            <w:pPr>
              <w:spacing w:after="0"/>
              <w:rPr>
                <w:sz w:val="20"/>
                <w:szCs w:val="20"/>
                <w:color w:val="auto"/>
              </w:rPr>
            </w:pPr>
          </w:p>
        </w:tc>
      </w:tr>
      <w:tr>
        <w:trPr>
          <w:trHeight w:val="216"/>
        </w:trPr>
        <w:tc>
          <w:tcPr>
            <w:tcW w:w="6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presented under current assets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Forward exchange contracts used for hedging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6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520" w:hanging="500"/>
        <w:spacing w:after="0"/>
        <w:tabs>
          <w:tab w:leader="none" w:pos="1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framework:</w:t>
      </w:r>
    </w:p>
    <w:p>
      <w:pPr>
        <w:spacing w:after="0" w:line="229"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has overall responsibility for the establishment and oversight of the Group’s risk management framework. The Board is responsible for developing and monitoring the Group’s risk management policies.</w:t>
      </w:r>
    </w:p>
    <w:p>
      <w:pPr>
        <w:spacing w:after="0" w:line="162" w:lineRule="exact"/>
        <w:rPr>
          <w:rFonts w:ascii="Times New Roman" w:cs="Times New Roman" w:eastAsia="Times New Roman" w:hAnsi="Times New Roman"/>
          <w:sz w:val="18"/>
          <w:szCs w:val="18"/>
          <w:b w:val="1"/>
          <w:bCs w:val="1"/>
          <w:color w:val="auto"/>
        </w:rPr>
      </w:pPr>
    </w:p>
    <w:p>
      <w:pPr>
        <w:jc w:val="both"/>
        <w:ind w:left="15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of standards and procedures, aims to develop a disciplined and constructive control environment in which all employees understand their roles and obligations.</w:t>
      </w:r>
    </w:p>
    <w:p>
      <w:pPr>
        <w:spacing w:after="0" w:line="185"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Audit Committee oversees how management monitors compliance with the Group’s risk management policies and procedures and reviews the adequacy of the risk management framework in relation to the risks faced by the Group. The Group Audit Committee is assisted in its oversight role by Internal Audit. Internal Audit undertakes both regular and ad hoc reviews of risk management controls and procedures, the results of which are reported to the Audit Committee.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18:</w:t>
        <w:tab/>
        <w:t>FINANCIAL INSTRUMENTS (Cont.)</w:t>
      </w:r>
    </w:p>
    <w:p>
      <w:pPr>
        <w:spacing w:after="0" w:line="225" w:lineRule="exact"/>
        <w:rPr>
          <w:sz w:val="20"/>
          <w:szCs w:val="20"/>
          <w:color w:val="auto"/>
        </w:rPr>
      </w:pPr>
    </w:p>
    <w:p>
      <w:pPr>
        <w:ind w:left="1520" w:hanging="500"/>
        <w:spacing w:after="0"/>
        <w:tabs>
          <w:tab w:leader="none" w:pos="1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42" w:lineRule="exact"/>
        <w:rPr>
          <w:rFonts w:ascii="Times New Roman" w:cs="Times New Roman" w:eastAsia="Times New Roman" w:hAnsi="Times New Roman"/>
          <w:sz w:val="18"/>
          <w:szCs w:val="18"/>
          <w:b w:val="1"/>
          <w:bCs w:val="1"/>
          <w:color w:val="auto"/>
        </w:rPr>
      </w:pPr>
    </w:p>
    <w:p>
      <w:pPr>
        <w:ind w:left="1540" w:right="2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credit risk arises from the risk of financial loss if a customer or counterparty to a financial instrument fails to meet its contractual obligations.</w:t>
      </w:r>
    </w:p>
    <w:p>
      <w:pPr>
        <w:spacing w:after="0" w:line="162" w:lineRule="exact"/>
        <w:rPr>
          <w:rFonts w:ascii="Times New Roman" w:cs="Times New Roman" w:eastAsia="Times New Roman" w:hAnsi="Times New Roman"/>
          <w:sz w:val="18"/>
          <w:szCs w:val="18"/>
          <w:b w:val="1"/>
          <w:bCs w:val="1"/>
          <w:color w:val="auto"/>
        </w:rPr>
      </w:pPr>
    </w:p>
    <w:p>
      <w:pPr>
        <w:ind w:left="1540" w:right="3860"/>
        <w:spacing w:after="0" w:line="5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carrying amount of financial assets represents the maximum credit exposure. The maximum exposure to credit risk at the reporting date was as follows: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59"/>
        </w:trPr>
        <w:tc>
          <w:tcPr>
            <w:tcW w:w="6680" w:type="dxa"/>
            <w:vAlign w:val="bottom"/>
          </w:tcPr>
          <w:p>
            <w:pPr>
              <w:spacing w:after="0"/>
              <w:rPr>
                <w:sz w:val="22"/>
                <w:szCs w:val="22"/>
                <w:color w:val="auto"/>
              </w:rPr>
            </w:pPr>
          </w:p>
        </w:tc>
        <w:tc>
          <w:tcPr>
            <w:tcW w:w="19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6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7"/>
        </w:trPr>
        <w:tc>
          <w:tcPr>
            <w:tcW w:w="668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80" w:type="dxa"/>
            <w:vAlign w:val="bottom"/>
          </w:tcPr>
          <w:p>
            <w:pPr>
              <w:spacing w:after="0"/>
              <w:rPr>
                <w:sz w:val="20"/>
                <w:szCs w:val="20"/>
                <w:color w:val="auto"/>
              </w:rPr>
            </w:pPr>
          </w:p>
        </w:tc>
      </w:tr>
      <w:tr>
        <w:trPr>
          <w:trHeight w:val="216"/>
        </w:trPr>
        <w:tc>
          <w:tcPr>
            <w:tcW w:w="6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133,308</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187,068</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 (a)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196,101</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217,960</w:t>
            </w:r>
          </w:p>
        </w:tc>
      </w:tr>
      <w:tr>
        <w:trPr>
          <w:trHeight w:val="22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870</w:t>
            </w:r>
          </w:p>
        </w:tc>
      </w:tr>
      <w:tr>
        <w:trPr>
          <w:trHeight w:val="23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 term deposit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66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332,098</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406,636</w:t>
            </w:r>
          </w:p>
        </w:tc>
      </w:tr>
      <w:tr>
        <w:trPr>
          <w:trHeight w:val="20"/>
        </w:trPr>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40" w:hanging="507"/>
        <w:spacing w:after="0" w:line="266" w:lineRule="auto"/>
        <w:tabs>
          <w:tab w:leader="none" w:pos="20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the Group included provision for doubtful debts in the amount of USD 8,991 thousand (December 31, 2024: USD 18,502 thousand) in respect of collective impairment provision and specific debtors that their collectability is in doubt.</w:t>
      </w:r>
    </w:p>
    <w:p>
      <w:pPr>
        <w:spacing w:after="0" w:line="189" w:lineRule="exact"/>
        <w:rPr>
          <w:rFonts w:ascii="Times New Roman" w:cs="Times New Roman" w:eastAsia="Times New Roman" w:hAnsi="Times New Roman"/>
          <w:sz w:val="18"/>
          <w:szCs w:val="18"/>
          <w:color w:val="auto"/>
        </w:rPr>
      </w:pPr>
    </w:p>
    <w:p>
      <w:pPr>
        <w:ind w:left="20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two buyers accounted for 22.6% and 10.7% of trade receivables. As of December 31, 2024, three buyers accounted for 19.1%, 12.1% and 11.2% of trade receivables.</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Allowance for Doubtful</w:t>
            </w:r>
          </w:p>
        </w:tc>
      </w:tr>
      <w:tr>
        <w:trPr>
          <w:trHeight w:val="245"/>
        </w:trPr>
        <w:tc>
          <w:tcPr>
            <w:tcW w:w="6680" w:type="dxa"/>
            <w:vAlign w:val="bottom"/>
          </w:tcPr>
          <w:p>
            <w:pPr>
              <w:spacing w:after="0"/>
              <w:rPr>
                <w:sz w:val="21"/>
                <w:szCs w:val="21"/>
                <w:color w:val="auto"/>
              </w:rPr>
            </w:pPr>
          </w:p>
        </w:tc>
        <w:tc>
          <w:tcPr>
            <w:tcW w:w="12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debts</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6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6"/>
        </w:trPr>
        <w:tc>
          <w:tcPr>
            <w:tcW w:w="668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80" w:type="dxa"/>
            <w:vAlign w:val="bottom"/>
          </w:tcPr>
          <w:p>
            <w:pPr>
              <w:spacing w:after="0"/>
              <w:rPr>
                <w:sz w:val="20"/>
                <w:szCs w:val="20"/>
                <w:color w:val="auto"/>
              </w:rPr>
            </w:pPr>
          </w:p>
        </w:tc>
      </w:tr>
      <w:tr>
        <w:trPr>
          <w:trHeight w:val="216"/>
        </w:trPr>
        <w:tc>
          <w:tcPr>
            <w:tcW w:w="6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2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17,423</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debts expenses (income)</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(7,593)</w:t>
            </w: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1,678</w:t>
            </w: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3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6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18,502</w:t>
            </w:r>
          </w:p>
        </w:tc>
      </w:tr>
      <w:tr>
        <w:trPr>
          <w:trHeight w:val="20"/>
        </w:trPr>
        <w:tc>
          <w:tcPr>
            <w:tcW w:w="6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520" w:hanging="500"/>
        <w:spacing w:after="0"/>
        <w:tabs>
          <w:tab w:leader="none" w:pos="1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w:t>
      </w:r>
    </w:p>
    <w:p>
      <w:pPr>
        <w:spacing w:after="0" w:line="229"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The Group’s approach to managing liquidity is to ensure, as far as possible, that it has sufficient liquidity to meet its liabilities when due, under both normal and stressed conditions, without incurring unacceptable losses or risking damage to the Group’s reputation.</w:t>
      </w:r>
    </w:p>
    <w:p>
      <w:pPr>
        <w:spacing w:after="0" w:line="185"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December 31, 2024, the Group’s contractual obligation of financial liability is in respect of leases, trade, and other payables in the amount of USD 242,198 thousand and USD 272,289 thousand, respectively.</w:t>
      </w:r>
    </w:p>
    <w:p>
      <w:pPr>
        <w:spacing w:after="0" w:line="162" w:lineRule="exact"/>
        <w:rPr>
          <w:rFonts w:ascii="Times New Roman" w:cs="Times New Roman" w:eastAsia="Times New Roman" w:hAnsi="Times New Roman"/>
          <w:sz w:val="18"/>
          <w:szCs w:val="18"/>
          <w:b w:val="1"/>
          <w:bCs w:val="1"/>
          <w:color w:val="auto"/>
        </w:rPr>
      </w:pPr>
    </w:p>
    <w:p>
      <w:pPr>
        <w:ind w:left="15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contractual maturity of the financial liability that is less than one year is in the amount of USD 223,554 thousand and USD 249,432 thousand for December 31, 2025, and December 31, 2024, respectively.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18:</w:t>
        <w:tab/>
        <w:t>FINANCIAL INSTRUMENTS (Cont.)</w:t>
      </w:r>
    </w:p>
    <w:p>
      <w:pPr>
        <w:spacing w:after="0" w:line="225" w:lineRule="exact"/>
        <w:rPr>
          <w:sz w:val="20"/>
          <w:szCs w:val="20"/>
          <w:color w:val="auto"/>
        </w:rPr>
      </w:pPr>
    </w:p>
    <w:p>
      <w:pPr>
        <w:ind w:left="1520" w:hanging="500"/>
        <w:spacing w:after="0"/>
        <w:tabs>
          <w:tab w:leader="none" w:pos="1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risk:</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 risk is the risk that changes in market prices, such as foreign exchange rates, the CPI, interest rates and equity prices will affect the Group’s income or the value of its holdings of financial instruments. The objective of market risk management is to manage and control market risk exposures within acceptable parameters, while optimizing the return.</w:t>
      </w:r>
    </w:p>
    <w:p>
      <w:pPr>
        <w:spacing w:after="0" w:line="195" w:lineRule="exact"/>
        <w:rPr>
          <w:rFonts w:ascii="Times New Roman" w:cs="Times New Roman" w:eastAsia="Times New Roman" w:hAnsi="Times New Roman"/>
          <w:sz w:val="18"/>
          <w:szCs w:val="18"/>
          <w:b w:val="1"/>
          <w:bCs w:val="1"/>
          <w:color w:val="auto"/>
        </w:rPr>
      </w:pPr>
    </w:p>
    <w:p>
      <w:pPr>
        <w:jc w:val="both"/>
        <w:ind w:left="15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USD 7,228 thousand are held in NIS, USD 1,962 thousand are held in AUD, USD 1,874 thousand are held in CAD, USD 1,271 thousand are held in SGD, USD 1,160 thousand are held in EUR, USD 243 thousand are held in GBP, USD 221 thousand are held in JPY, USD 238 thousand are held in other currencies and the remainder held in USD.</w:t>
      </w:r>
    </w:p>
    <w:p>
      <w:pPr>
        <w:spacing w:after="0" w:line="18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December 31, 2024, no individual vendor accounted for more than 10% of trade payables.</w:t>
      </w:r>
    </w:p>
    <w:p>
      <w:pPr>
        <w:spacing w:after="0" w:line="248"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Currency risk</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not exposed to currency risk on sales and purchases that are denominated in a currency other than the respective functional currency of the Group, the USD. The principal currencies in which these transactions are denominated are GBP, NIS, EURO, CAD, SGD, MYR, AUD and JPY. As of December 31, 2025, 11% the cash and cash equivalents balance is held in currencies other than the functional currency of the Group.</w:t>
      </w:r>
    </w:p>
    <w:p>
      <w:pPr>
        <w:spacing w:after="0" w:line="185" w:lineRule="exact"/>
        <w:rPr>
          <w:rFonts w:ascii="Times New Roman" w:cs="Times New Roman" w:eastAsia="Times New Roman" w:hAnsi="Times New Roman"/>
          <w:sz w:val="18"/>
          <w:szCs w:val="18"/>
          <w:b w:val="1"/>
          <w:bCs w:val="1"/>
          <w:color w:val="auto"/>
        </w:rPr>
      </w:pPr>
    </w:p>
    <w:p>
      <w:pPr>
        <w:ind w:left="1540" w:right="2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point in time, the Group aims to match the amounts of its assets and liabilities in the same currency in order to hedge the exposure to changes in currency.</w:t>
      </w:r>
    </w:p>
    <w:p>
      <w:pPr>
        <w:spacing w:after="0" w:line="162" w:lineRule="exact"/>
        <w:rPr>
          <w:rFonts w:ascii="Times New Roman" w:cs="Times New Roman" w:eastAsia="Times New Roman" w:hAnsi="Times New Roman"/>
          <w:sz w:val="18"/>
          <w:szCs w:val="18"/>
          <w:b w:val="1"/>
          <w:bCs w:val="1"/>
          <w:color w:val="auto"/>
        </w:rPr>
      </w:pPr>
    </w:p>
    <w:p>
      <w:pPr>
        <w:ind w:left="1540" w:right="2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other monetary assets and liabilities denominated in foreign currencies, the Group ensures that its net exposure is kept to an acceptable level by buying or selling foreign currencies at spot rates when necessary to address short-term imbalances.</w:t>
      </w:r>
    </w:p>
    <w:p>
      <w:pPr>
        <w:spacing w:after="0" w:line="158" w:lineRule="exact"/>
        <w:rPr>
          <w:rFonts w:ascii="Times New Roman" w:cs="Times New Roman" w:eastAsia="Times New Roman" w:hAnsi="Times New Roman"/>
          <w:sz w:val="18"/>
          <w:szCs w:val="18"/>
          <w:b w:val="1"/>
          <w:bCs w:val="1"/>
          <w:color w:val="auto"/>
        </w:rPr>
      </w:pPr>
    </w:p>
    <w:p>
      <w:pPr>
        <w:ind w:left="1540" w:right="8200" w:hanging="520"/>
        <w:spacing w:after="0" w:line="518" w:lineRule="auto"/>
        <w:tabs>
          <w:tab w:leader="none" w:pos="152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Sensitivity analysis: Exchange rates:</w:t>
      </w:r>
    </w:p>
    <w:p>
      <w:pPr>
        <w:spacing w:after="0" w:line="1" w:lineRule="exact"/>
        <w:rPr>
          <w:rFonts w:ascii="Times New Roman" w:cs="Times New Roman" w:eastAsia="Times New Roman" w:hAnsi="Times New Roman"/>
          <w:sz w:val="18"/>
          <w:szCs w:val="18"/>
          <w:b w:val="1"/>
          <w:bCs w:val="1"/>
          <w:color w:val="auto"/>
        </w:rPr>
      </w:pPr>
    </w:p>
    <w:p>
      <w:pPr>
        <w:jc w:val="both"/>
        <w:ind w:left="15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change as of December 31 in the exchange rates of the following currencies against the USD, as indicated below, would have affected the measurement of financial instruments denominated in a foreign currency and would have increased (decreased) profit or loss and equity by the amounts shown below (after tax). This analysis is based on foreign currency exchange rate that the Group considered to be reasonably possible at the end of the reporting period. The analysis assumes that all other variables, in particular interest rates, remain constant and ignores any impact of forecasted sales and purchases.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18:  FINANCIAL INSTRUMENTS (Cont.)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162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NIS/USD</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0"/>
                <w:szCs w:val="20"/>
                <w:color w:val="auto"/>
              </w:rPr>
            </w:pPr>
          </w:p>
        </w:tc>
      </w:tr>
      <w:tr>
        <w:trPr>
          <w:trHeight w:val="236"/>
        </w:trPr>
        <w:tc>
          <w:tcPr>
            <w:tcW w:w="16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79"/>
              </w:rPr>
              <w:t>thousands</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46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29"/>
        </w:trPr>
        <w:tc>
          <w:tcPr>
            <w:tcW w:w="16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r>
      <w:tr>
        <w:trPr>
          <w:trHeight w:val="234"/>
        </w:trPr>
        <w:tc>
          <w:tcPr>
            <w:tcW w:w="16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 (Decrease) in Shareholders’ Equity</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tcPr>
          <w:p>
            <w:pPr>
              <w:spacing w:after="0"/>
              <w:rPr>
                <w:sz w:val="20"/>
                <w:szCs w:val="20"/>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r>
    </w:tbl>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43" w:lineRule="exact"/>
        <w:rPr>
          <w:sz w:val="20"/>
          <w:szCs w:val="20"/>
          <w:color w:val="auto"/>
        </w:rPr>
      </w:pPr>
    </w:p>
    <w:p>
      <w:pPr>
        <w:ind w:left="1540"/>
        <w:spacing w:after="0" w:line="297" w:lineRule="auto"/>
        <w:rPr>
          <w:sz w:val="20"/>
          <w:szCs w:val="20"/>
          <w:color w:val="auto"/>
        </w:rPr>
      </w:pPr>
      <w:r>
        <w:rPr>
          <w:rFonts w:ascii="Times New Roman" w:cs="Times New Roman" w:eastAsia="Times New Roman" w:hAnsi="Times New Roman"/>
          <w:sz w:val="18"/>
          <w:szCs w:val="18"/>
          <w:color w:val="auto"/>
        </w:rPr>
        <w:t>The Group has a cash flow benefit due to its variable interest rate on cash and cash equivalents. A 5% increase in the interest rate would result in an income and an increase in shareholders' equity of USD 4.4 million.</w:t>
      </w:r>
    </w:p>
    <w:p>
      <w:pPr>
        <w:spacing w:after="0" w:line="159" w:lineRule="exact"/>
        <w:rPr>
          <w:sz w:val="20"/>
          <w:szCs w:val="20"/>
          <w:color w:val="auto"/>
        </w:rPr>
      </w:pPr>
    </w:p>
    <w:p>
      <w:pPr>
        <w:ind w:left="1520" w:hanging="500"/>
        <w:spacing w:after="0"/>
        <w:tabs>
          <w:tab w:leader="none" w:pos="1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Level 3 financial instruments carried at fair value</w:t>
      </w:r>
    </w:p>
    <w:p>
      <w:pPr>
        <w:spacing w:after="0" w:line="242" w:lineRule="exact"/>
        <w:rPr>
          <w:rFonts w:ascii="Times New Roman" w:cs="Times New Roman" w:eastAsia="Times New Roman" w:hAnsi="Times New Roman"/>
          <w:sz w:val="18"/>
          <w:szCs w:val="18"/>
          <w:b w:val="1"/>
          <w:bCs w:val="1"/>
          <w:color w:val="auto"/>
        </w:rPr>
      </w:pPr>
    </w:p>
    <w:p>
      <w:pPr>
        <w:jc w:val="both"/>
        <w:ind w:left="1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18, 2022, the Company completed a USD 25 million investment in V, a smart TV operating system, streaming platform, and a subsidiary of Hisense, pursuant to which 422,412 ordinary shares were issued to the Company. On August 7, 2025, the Company completed a USD 20 million additional investment in V, pursuant to which 337,041 additional ordinary shares were issued to the Company. As of the reporting date, the Company holds an aggregate of 759,453 ordinary shares in V. In addition, pursuant to the relevant agreement, the Company committed to an additional equity investment, subject to the satisfaction of certain conditions precedent, which is expected to be completed in 2026 and, accordingly, is not reflected in the Company’s ownership interest as of the reporting date.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18:</w:t>
        <w:tab/>
        <w:t>FINANCIAL INSTRUMENTS (Cont.)</w:t>
      </w:r>
    </w:p>
    <w:p>
      <w:pPr>
        <w:spacing w:after="0" w:line="225" w:lineRule="exact"/>
        <w:rPr>
          <w:sz w:val="20"/>
          <w:szCs w:val="20"/>
          <w:color w:val="auto"/>
        </w:rPr>
      </w:pPr>
    </w:p>
    <w:p>
      <w:pPr>
        <w:ind w:left="1520" w:hanging="500"/>
        <w:spacing w:after="0"/>
        <w:tabs>
          <w:tab w:leader="none" w:pos="1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Level 3 financial instruments carried at fair value (Cont.)</w:t>
      </w:r>
    </w:p>
    <w:p>
      <w:pPr>
        <w:spacing w:after="0" w:line="24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investment in shares is a financial asset measured at fair value through profit or loss under level 3.</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59"/>
        </w:trPr>
        <w:tc>
          <w:tcPr>
            <w:tcW w:w="8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fair value:</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shares: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as of January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year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as of December 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Valuation processes used by the Company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7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fair value of non-marketable shares is determined by external valuer on an annual basis.</w:t>
      </w:r>
    </w:p>
    <w:p>
      <w:pPr>
        <w:spacing w:after="0" w:line="2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principal unobservable inputs are as follows:</w:t>
      </w:r>
    </w:p>
    <w:p>
      <w:pPr>
        <w:spacing w:after="0" w:line="239" w:lineRule="exact"/>
        <w:rPr>
          <w:sz w:val="20"/>
          <w:szCs w:val="20"/>
          <w:color w:val="auto"/>
        </w:rPr>
      </w:pPr>
    </w:p>
    <w:p>
      <w:pPr>
        <w:ind w:left="1840" w:hanging="307"/>
        <w:spacing w:after="0"/>
        <w:tabs>
          <w:tab w:leader="none" w:pos="1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royalties from App share and remote-control button which is based on the expected increase in market share.</w:t>
      </w:r>
    </w:p>
    <w:p>
      <w:pPr>
        <w:spacing w:after="0" w:line="27" w:lineRule="exact"/>
        <w:rPr>
          <w:rFonts w:ascii="Times New Roman" w:cs="Times New Roman" w:eastAsia="Times New Roman" w:hAnsi="Times New Roman"/>
          <w:sz w:val="18"/>
          <w:szCs w:val="18"/>
          <w:color w:val="auto"/>
        </w:rPr>
      </w:pPr>
    </w:p>
    <w:p>
      <w:pPr>
        <w:ind w:left="1840" w:hanging="307"/>
        <w:spacing w:after="0"/>
        <w:tabs>
          <w:tab w:leader="none" w:pos="1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operating profit margin which is based on the stage of research and development.</w:t>
      </w:r>
    </w:p>
    <w:p>
      <w:pPr>
        <w:spacing w:after="0" w:line="9" w:lineRule="exact"/>
        <w:rPr>
          <w:rFonts w:ascii="Times New Roman" w:cs="Times New Roman" w:eastAsia="Times New Roman" w:hAnsi="Times New Roman"/>
          <w:sz w:val="18"/>
          <w:szCs w:val="18"/>
          <w:color w:val="auto"/>
        </w:rPr>
      </w:pPr>
    </w:p>
    <w:p>
      <w:pPr>
        <w:ind w:left="1840" w:right="100" w:hanging="307"/>
        <w:spacing w:after="0" w:line="255" w:lineRule="auto"/>
        <w:tabs>
          <w:tab w:leader="none" w:pos="1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which is based on the risk-free rate for 10-year debentures issued by the government in the relevant market, adjusted for a risk premium to reflect both the risk of investing in equities, the systematic risk of company and entity specific risk to the extent not already reflected in the cash flows.</w:t>
      </w:r>
    </w:p>
    <w:p>
      <w:pPr>
        <w:spacing w:after="0" w:line="1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Key assumptions used in the calculation of recoverable amounts are as of December 31, 2025:</w:t>
      </w:r>
    </w:p>
    <w:p>
      <w:pPr>
        <w:sectPr>
          <w:pgSz w:w="11900" w:h="16838" w:orient="portrait"/>
          <w:cols w:equalWidth="0" w:num="1">
            <w:col w:w="11240"/>
          </w:cols>
          <w:pgMar w:left="320" w:top="333" w:right="339" w:bottom="1440" w:gutter="0" w:footer="0" w:header="0"/>
        </w:sectPr>
      </w:pPr>
    </w:p>
    <w:p>
      <w:pPr>
        <w:spacing w:after="0" w:line="23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Post-tax discount rate</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Terminal value growth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 (WACC)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w:t>
      </w:r>
    </w:p>
    <w:p>
      <w:pPr>
        <w:spacing w:after="0" w:line="200" w:lineRule="exact"/>
        <w:rPr>
          <w:sz w:val="20"/>
          <w:szCs w:val="20"/>
          <w:color w:val="auto"/>
        </w:rPr>
      </w:pPr>
    </w:p>
    <w:p>
      <w:pPr>
        <w:sectPr>
          <w:pgSz w:w="11900" w:h="16838" w:orient="portrait"/>
          <w:cols w:equalWidth="0" w:num="2">
            <w:col w:w="3800" w:space="500"/>
            <w:col w:w="6940"/>
          </w:cols>
          <w:pgMar w:left="320" w:top="333" w:right="339" w:bottom="1440" w:gutter="0" w:footer="0" w:header="0"/>
          <w:type w:val="continuous"/>
        </w:sectPr>
      </w:pPr>
    </w:p>
    <w:p>
      <w:pPr>
        <w:spacing w:after="0" w:line="3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Compensation and benefits to key management personnel</w:t>
      </w:r>
    </w:p>
    <w:p>
      <w:pPr>
        <w:spacing w:after="0" w:line="243" w:lineRule="exact"/>
        <w:rPr>
          <w:sz w:val="20"/>
          <w:szCs w:val="20"/>
          <w:color w:val="auto"/>
        </w:rPr>
      </w:pPr>
    </w:p>
    <w:p>
      <w:pPr>
        <w:ind w:left="1020"/>
        <w:spacing w:after="0" w:line="297" w:lineRule="auto"/>
        <w:rPr>
          <w:sz w:val="20"/>
          <w:szCs w:val="20"/>
          <w:color w:val="auto"/>
        </w:rPr>
      </w:pPr>
      <w:r>
        <w:rPr>
          <w:rFonts w:ascii="Times New Roman" w:cs="Times New Roman" w:eastAsia="Times New Roman" w:hAnsi="Times New Roman"/>
          <w:sz w:val="18"/>
          <w:szCs w:val="18"/>
          <w:color w:val="auto"/>
        </w:rPr>
        <w:t>Executive officers also participate in the Company’s share-based compensation plan. For further information see Note 17 regarding share-based compensation.</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Compensation and benefits to key management personnel (including executive and non-executive directors) that provide services to the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Company and its subsidiaries: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5"/>
        </w:trPr>
        <w:tc>
          <w:tcPr>
            <w:tcW w:w="11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USD thousands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3,648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11,527</w:t>
            </w:r>
          </w:p>
        </w:tc>
        <w:tc>
          <w:tcPr>
            <w:tcW w:w="102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compensation and benefits</w:t>
            </w:r>
          </w:p>
        </w:tc>
        <w:tc>
          <w:tcPr>
            <w:tcW w:w="2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3,988</w:t>
            </w:r>
          </w:p>
        </w:tc>
        <w:tc>
          <w:tcPr>
            <w:tcW w:w="10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15,515</w:t>
            </w:r>
          </w:p>
        </w:tc>
        <w:tc>
          <w:tcPr>
            <w:tcW w:w="1020" w:type="dxa"/>
            <w:vAlign w:val="bottom"/>
          </w:tcPr>
          <w:p>
            <w:pPr>
              <w:spacing w:after="0"/>
              <w:rPr>
                <w:sz w:val="19"/>
                <w:szCs w:val="19"/>
                <w:color w:val="auto"/>
              </w:rPr>
            </w:pPr>
          </w:p>
        </w:tc>
      </w:tr>
      <w:tr>
        <w:trPr>
          <w:trHeight w:val="21"/>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4"/>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00" w:type="dxa"/>
            <w:vAlign w:val="bottom"/>
            <w:gridSpan w:val="2"/>
          </w:tcPr>
          <w:p>
            <w:pPr>
              <w:jc w:val="right"/>
              <w:ind w:right="2050"/>
              <w:spacing w:after="0"/>
              <w:rPr>
                <w:sz w:val="20"/>
                <w:szCs w:val="20"/>
                <w:color w:val="auto"/>
              </w:rPr>
            </w:pPr>
            <w:r>
              <w:rPr>
                <w:rFonts w:ascii="Times New Roman" w:cs="Times New Roman" w:eastAsia="Times New Roman" w:hAnsi="Times New Roman"/>
                <w:sz w:val="18"/>
                <w:szCs w:val="18"/>
                <w:color w:val="auto"/>
              </w:rPr>
              <w:t>F - 40</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
        </w:trPr>
        <w:tc>
          <w:tcPr>
            <w:tcW w:w="11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33" w:right="339" w:bottom="1440" w:gutter="0" w:footer="0" w:header="0"/>
          <w:type w:val="continuous"/>
        </w:sectPr>
      </w:pPr>
    </w:p>
    <w:bookmarkStart w:id="149" w:name="page150"/>
    <w:bookmarkEnd w:id="149"/>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20:  SUBSIDIARIES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Details in respect of subsidiaries: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6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Presented hereunder is a list of the Group’s subsidiaries: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The Group’s ownership</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80" w:type="dxa"/>
            <w:vAlign w:val="bottom"/>
          </w:tcPr>
          <w:p>
            <w:pPr>
              <w:spacing w:after="0"/>
              <w:rPr>
                <w:sz w:val="20"/>
                <w:szCs w:val="20"/>
                <w:color w:val="auto"/>
              </w:rPr>
            </w:pPr>
          </w:p>
        </w:tc>
        <w:tc>
          <w:tcPr>
            <w:tcW w:w="13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w:t>
            </w:r>
          </w:p>
        </w:tc>
        <w:tc>
          <w:tcPr>
            <w:tcW w:w="80" w:type="dxa"/>
            <w:vAlign w:val="bottom"/>
          </w:tcPr>
          <w:p>
            <w:pPr>
              <w:spacing w:after="0"/>
              <w:rPr>
                <w:sz w:val="19"/>
                <w:szCs w:val="19"/>
                <w:color w:val="auto"/>
              </w:rPr>
            </w:pPr>
          </w:p>
        </w:tc>
        <w:tc>
          <w:tcPr>
            <w:tcW w:w="21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 the subsidiary for the</w:t>
            </w:r>
          </w:p>
        </w:tc>
        <w:tc>
          <w:tcPr>
            <w:tcW w:w="0" w:type="dxa"/>
            <w:vAlign w:val="bottom"/>
          </w:tcPr>
          <w:p>
            <w:pPr>
              <w:spacing w:after="0"/>
              <w:rPr>
                <w:sz w:val="1"/>
                <w:szCs w:val="1"/>
                <w:color w:val="auto"/>
              </w:rPr>
            </w:pPr>
          </w:p>
        </w:tc>
      </w:tr>
      <w:tr>
        <w:trPr>
          <w:trHeight w:val="32"/>
        </w:trPr>
        <w:tc>
          <w:tcPr>
            <w:tcW w:w="1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80" w:type="dxa"/>
            <w:vAlign w:val="bottom"/>
          </w:tcPr>
          <w:p>
            <w:pPr>
              <w:spacing w:after="0"/>
              <w:rPr>
                <w:sz w:val="16"/>
                <w:szCs w:val="16"/>
                <w:color w:val="auto"/>
              </w:rPr>
            </w:pPr>
          </w:p>
        </w:tc>
        <w:tc>
          <w:tcPr>
            <w:tcW w:w="2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Company’s</w:t>
            </w:r>
          </w:p>
        </w:tc>
        <w:tc>
          <w:tcPr>
            <w:tcW w:w="80" w:type="dxa"/>
            <w:vAlign w:val="bottom"/>
          </w:tcPr>
          <w:p>
            <w:pPr>
              <w:spacing w:after="0"/>
              <w:rPr>
                <w:sz w:val="22"/>
                <w:szCs w:val="22"/>
                <w:color w:val="auto"/>
              </w:rPr>
            </w:pPr>
          </w:p>
        </w:tc>
        <w:tc>
          <w:tcPr>
            <w:tcW w:w="21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13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150"/>
              <w:spacing w:after="0" w:line="156" w:lineRule="exact"/>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37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Taptica Inc</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YuMe Inc*</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Perk.com Canada Inc</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R1 Demand LLC</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Group LLC</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Nexxen Group US Holdings Inc.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Holdings Ltd *</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Nexxen Group Ltd</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Media Pte Ltd</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Nexxen Pty Ltd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Media Japan K.K.</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Nexxen Video Distribution Sdn Bhd</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Nexxen CTRL GmbH</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Nexxen Inc.</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Amobee International Inc</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Amobee Ltd</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40" w:hanging="7"/>
        <w:spacing w:after="0" w:line="532" w:lineRule="auto"/>
        <w:tabs>
          <w:tab w:leader="none" w:pos="2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these companies, there are nine (9) wholly owned subsidiaries that are inactive, liquidated or in liquidation process. ** The subsidiaries are in liquidation process or merged into other fully owned subsidiaries of the Company.</w:t>
      </w:r>
    </w:p>
    <w:p>
      <w:pPr>
        <w:spacing w:after="0" w:line="1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47" w:right="7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OPERATING SEGMENTS</w:t>
      </w:r>
    </w:p>
    <w:p>
      <w:pPr>
        <w:spacing w:after="0" w:line="2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Group has a single reportable segment as a provider of marketing services.</w:t>
      </w:r>
    </w:p>
    <w:p>
      <w:pPr>
        <w:spacing w:after="0" w:line="2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Geographical information</w:t>
      </w:r>
    </w:p>
    <w:p>
      <w:pPr>
        <w:spacing w:after="0" w:line="252" w:lineRule="exact"/>
        <w:rPr>
          <w:sz w:val="20"/>
          <w:szCs w:val="20"/>
          <w:color w:val="auto"/>
        </w:rPr>
      </w:pPr>
    </w:p>
    <w:p>
      <w:pPr>
        <w:ind w:left="1340" w:hanging="320"/>
        <w:spacing w:after="0"/>
        <w:tabs>
          <w:tab w:leader="none" w:pos="1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rFonts w:ascii="Times New Roman" w:cs="Times New Roman" w:eastAsia="Times New Roman" w:hAnsi="Times New Roman"/>
          <w:sz w:val="18"/>
          <w:szCs w:val="18"/>
          <w:b w:val="1"/>
          <w:bCs w:val="1"/>
          <w:color w:val="auto"/>
        </w:rPr>
      </w:pPr>
    </w:p>
    <w:p>
      <w:pPr>
        <w:ind w:left="1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presenting information on the basis of geographical segments, segment revenue is based on the geographical location of consumers.</w:t>
      </w:r>
    </w:p>
    <w:p>
      <w:pPr>
        <w:spacing w:after="0" w:line="248"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1460" w:type="dxa"/>
        <w:tblCellMar>
          <w:top w:w="0" w:type="dxa"/>
          <w:left w:w="0" w:type="dxa"/>
          <w:bottom w:w="0" w:type="dxa"/>
          <w:right w:w="0" w:type="dxa"/>
        </w:tblCellMar>
      </w:tblPr>
      <w:tr>
        <w:trPr>
          <w:trHeight w:val="257"/>
        </w:trPr>
        <w:tc>
          <w:tcPr>
            <w:tcW w:w="57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r>
      <w:tr>
        <w:trPr>
          <w:trHeight w:val="236"/>
        </w:trPr>
        <w:tc>
          <w:tcPr>
            <w:tcW w:w="57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USD thousands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334,446</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333,661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303,954</w:t>
            </w:r>
          </w:p>
        </w:tc>
      </w:tr>
      <w:tr>
        <w:trPr>
          <w:trHeight w:val="229"/>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America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5,262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7,826</w:t>
            </w:r>
          </w:p>
        </w:tc>
      </w:tr>
      <w:tr>
        <w:trPr>
          <w:trHeight w:val="230"/>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6,537</w:t>
            </w:r>
          </w:p>
        </w:tc>
      </w:tr>
      <w:tr>
        <w:trPr>
          <w:trHeight w:val="236"/>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15,112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13,676</w:t>
            </w:r>
          </w:p>
        </w:tc>
      </w:tr>
      <w:tr>
        <w:trPr>
          <w:trHeight w:val="216"/>
        </w:trPr>
        <w:tc>
          <w:tcPr>
            <w:tcW w:w="57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364,780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365,477</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331,993</w:t>
            </w:r>
          </w:p>
        </w:tc>
      </w:tr>
      <w:tr>
        <w:trPr>
          <w:trHeight w:val="21"/>
        </w:trPr>
        <w:tc>
          <w:tcPr>
            <w:tcW w:w="5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1340" w:hanging="320"/>
        <w:spacing w:after="0"/>
        <w:tabs>
          <w:tab w:leader="none" w:pos="1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Assets</w:t>
      </w:r>
    </w:p>
    <w:p>
      <w:pPr>
        <w:spacing w:after="0" w:line="242" w:lineRule="exact"/>
        <w:rPr>
          <w:rFonts w:ascii="Times New Roman" w:cs="Times New Roman" w:eastAsia="Times New Roman" w:hAnsi="Times New Roman"/>
          <w:sz w:val="18"/>
          <w:szCs w:val="18"/>
          <w:b w:val="1"/>
          <w:bCs w:val="1"/>
          <w:color w:val="auto"/>
        </w:rPr>
      </w:pPr>
    </w:p>
    <w:p>
      <w:pPr>
        <w:ind w:left="136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presenting information based on geographical segments, non-current assets segments are based on the geographical location of the non-current assets*.</w:t>
      </w:r>
    </w:p>
    <w:p>
      <w:pPr>
        <w:spacing w:after="0" w:line="159"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6780" w:type="dxa"/>
            <w:vAlign w:val="bottom"/>
          </w:tcPr>
          <w:p>
            <w:pPr>
              <w:spacing w:after="0"/>
              <w:rPr>
                <w:sz w:val="21"/>
                <w:szCs w:val="21"/>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7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37"/>
        </w:trPr>
        <w:tc>
          <w:tcPr>
            <w:tcW w:w="678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1"/>
              </w:rPr>
              <w:t>thousands</w:t>
            </w:r>
          </w:p>
        </w:tc>
        <w:tc>
          <w:tcPr>
            <w:tcW w:w="80" w:type="dxa"/>
            <w:vAlign w:val="bottom"/>
          </w:tcPr>
          <w:p>
            <w:pPr>
              <w:spacing w:after="0"/>
              <w:rPr>
                <w:sz w:val="20"/>
                <w:szCs w:val="20"/>
                <w:color w:val="auto"/>
              </w:rPr>
            </w:pPr>
          </w:p>
        </w:tc>
      </w:tr>
      <w:tr>
        <w:trPr>
          <w:trHeight w:val="216"/>
        </w:trPr>
        <w:tc>
          <w:tcPr>
            <w:tcW w:w="6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62,252</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74,409</w:t>
            </w:r>
          </w:p>
        </w:tc>
      </w:tr>
      <w:tr>
        <w:trPr>
          <w:trHeight w:val="23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Israel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296,640</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305,010</w:t>
            </w:r>
          </w:p>
        </w:tc>
      </w:tr>
      <w:tr>
        <w:trPr>
          <w:trHeight w:val="23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APAC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1,170</w:t>
            </w:r>
          </w:p>
        </w:tc>
      </w:tr>
      <w:tr>
        <w:trPr>
          <w:trHeight w:val="236"/>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29"/>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363,414</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383,995</w:t>
            </w:r>
          </w:p>
        </w:tc>
      </w:tr>
      <w:tr>
        <w:trPr>
          <w:trHeight w:val="20"/>
        </w:trPr>
        <w:tc>
          <w:tcPr>
            <w:tcW w:w="6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20" w:hanging="200"/>
        <w:spacing w:after="0" w:line="266" w:lineRule="auto"/>
        <w:tabs>
          <w:tab w:leader="none" w:pos="12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Deferred tax assets, Investment in shares and Other long-term assets. As of December 31, 2025 and 2024, Intangible assets, net, which are non-related to a specific geographic area, in the total amount of USD 248 million and USD 246 million, respectively, are presented as part of the parent company, which is located in Israel.</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22:</w:t>
        <w:tab/>
        <w:t>SUBSEQUENT EVENTS</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January 6, 2026, at the Company’s annual general meeting, the shareholders approved an updated compensation structure for the Board of Directors, including annual cash retainers for board members and committee service, as well as additional retainers for committee chairs, the non-executive Chair of the Board, and the Lead Independent Director. In addition, an annual equity retainer of RSUs with a value of USD 150,000 was approved for each non-executive director, granted on January 7, 2026, with a one-year vesting period, Additionally, each non-executive director was granted an additional equity grant on the date of the Meeting, consisting of fully vested RSUs with a value of USD 150,000 to compensate for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4.4</w:t>
      </w:r>
    </w:p>
    <w:p>
      <w:pPr>
        <w:spacing w:after="0" w:line="2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Amendment No. 6 to Nexxen International Ltd.</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January 6, 2026</w:t>
      </w:r>
    </w:p>
    <w:p>
      <w:pPr>
        <w:spacing w:after="0" w:line="234"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Effective as of January 6, 2026, the Nexxen International Ltd. 2017 Equity Incentive Plan, as amended April 15, 2019, April 30, 2021, December 27, 2023, December 20, 2024 and February 14, 2025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hereby amended as follows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760" w:hanging="320"/>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3(a) of the Plan, shall be amended as follows:</w:t>
      </w:r>
    </w:p>
    <w:p>
      <w:pPr>
        <w:spacing w:after="0" w:line="223" w:lineRule="exact"/>
        <w:rPr>
          <w:sz w:val="20"/>
          <w:szCs w:val="20"/>
          <w:color w:val="auto"/>
        </w:rPr>
      </w:pPr>
    </w:p>
    <w:p>
      <w:pPr>
        <w:ind w:right="1100" w:firstLine="648"/>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“Subject to the provisions of Section 14 of the Plan, the maximum aggregate number of Shares that may be issued under the Plan is </w:t>
      </w:r>
      <w:r>
        <w:rPr>
          <w:rFonts w:ascii="Times New Roman" w:cs="Times New Roman" w:eastAsia="Times New Roman" w:hAnsi="Times New Roman"/>
          <w:sz w:val="18"/>
          <w:szCs w:val="18"/>
          <w:b w:val="1"/>
          <w:bCs w:val="1"/>
          <w:i w:val="1"/>
          <w:iCs w:val="1"/>
          <w:u w:val="single" w:color="auto"/>
          <w:color w:val="auto"/>
        </w:rPr>
        <w:t>16,680,349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strike w:val="1"/>
        </w:rPr>
        <w:t>14,880,349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Shares.”</w:t>
      </w:r>
    </w:p>
    <w:p>
      <w:pPr>
        <w:spacing w:after="0" w:line="160" w:lineRule="exact"/>
        <w:rPr>
          <w:sz w:val="20"/>
          <w:szCs w:val="20"/>
          <w:color w:val="auto"/>
        </w:rPr>
      </w:pPr>
    </w:p>
    <w:p>
      <w:pPr>
        <w:ind w:left="760" w:hanging="320"/>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amended by this Amendment, all other terms of the Plan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FIRST AMENDMENT TO CREDIT AGREEMENT</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FIRST AMENDMENT TO CREDIT AGREEMENT, dated as of April 9, 2024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this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Nexxen Group US Holdings Inc (f/k/a Unruly Group US Holding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NEXXEN HOLDINGS LTD (f/k/a Unruly Holdings Limited), a private limited company organized under the laws of the United Kingdom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Nexxen International Ltd. (f/k/a Tremor International Ltd.), a company organized under the laws of the State of Israel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Guarantors party hereto,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each L/C Issuer party hereto and Royal Bank of Canada (“</w:t>
      </w:r>
      <w:r>
        <w:rPr>
          <w:rFonts w:ascii="Times New Roman" w:cs="Times New Roman" w:eastAsia="Times New Roman" w:hAnsi="Times New Roman"/>
          <w:sz w:val="18"/>
          <w:szCs w:val="18"/>
          <w:u w:val="single" w:color="auto"/>
          <w:color w:val="auto"/>
        </w:rPr>
        <w:t>RBC</w:t>
      </w:r>
      <w:r>
        <w:rPr>
          <w:rFonts w:ascii="Times New Roman" w:cs="Times New Roman" w:eastAsia="Times New Roman" w:hAnsi="Times New Roman"/>
          <w:sz w:val="18"/>
          <w:szCs w:val="18"/>
          <w:color w:val="auto"/>
        </w:rPr>
        <w:t>”), as Administrative Agent and Collateral Agent. Capitalized terms used but not defined herein shall have the respective meanings assigned to such terms in the Credit Agreement (as modified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reference is hereby made to that certain Credit Agreement, dated as of September 12, 2022 (as amended, restated,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supplemented and/or otherwise modified from time to time prior to the First Amendment Effective Date referred to below,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inter alios, the Borrower, Holdings, the Parent, each Lender party thereto, each L/C Issuer party thereto and RBC as Administrative Agent and Collateral Agent; and</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10.01 of the Credit Agreement, the Loan Parties and the Lenders party hereto constituting not less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Lenders agree to amend certain provisions of the Credit Agreement as set forth herein, in each case subject to the terms and conditions 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agreements, provisions and covenants herein contained, the parties hereto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0" w:lineRule="exact"/>
        <w:rPr>
          <w:sz w:val="20"/>
          <w:szCs w:val="20"/>
          <w:color w:val="auto"/>
        </w:rPr>
      </w:pPr>
    </w:p>
    <w:p>
      <w:pPr>
        <w:jc w:val="both"/>
        <w:ind w:firstLine="656"/>
        <w:spacing w:after="0" w:line="267" w:lineRule="auto"/>
        <w:tabs>
          <w:tab w:leader="none" w:pos="1223"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Credit Agreement; Waiver of Breakage Costs</w:t>
      </w:r>
      <w:r>
        <w:rPr>
          <w:rFonts w:ascii="Times New Roman" w:cs="Times New Roman" w:eastAsia="Times New Roman" w:hAnsi="Times New Roman"/>
          <w:sz w:val="18"/>
          <w:szCs w:val="18"/>
          <w:color w:val="auto"/>
        </w:rPr>
        <w:t>. Effective as of the First Amendment Effective Date,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and conditions set forth herein, the Credit Agreement is hereby amended to incorporate the changes reflected in the redlined version of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delete the stricken text (indicated textually in the same manner as the following example: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By executing this Amendment, each Lender party hereto hereby waives any amount otherwise due to such Lender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in connection with the payment of the Initial Term Loans contemplated hereby.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302" w:lineRule="auto"/>
        <w:tabs>
          <w:tab w:leader="none" w:pos="129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 This First Amendment shall become effective as of the first date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 conditions set forth in this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xml:space="preserve"> shall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-753110</wp:posOffset>
            </wp:positionV>
            <wp:extent cx="10369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38" w:lineRule="exact"/>
        <w:rPr>
          <w:sz w:val="20"/>
          <w:szCs w:val="20"/>
          <w:color w:val="auto"/>
        </w:rPr>
      </w:pPr>
    </w:p>
    <w:p>
      <w:pPr>
        <w:ind w:firstLine="656"/>
        <w:spacing w:after="0" w:line="297" w:lineRule="auto"/>
        <w:tabs>
          <w:tab w:leader="none" w:pos="129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duly executed counterparts hereof that, when taken together, bear the signatures of (a) the Borrower, (b) Holdings, (c) the Parent, (d) the Administrative Agent and (e) the Required Lenders.</w:t>
      </w:r>
    </w:p>
    <w:p>
      <w:pPr>
        <w:spacing w:after="0" w:line="162" w:lineRule="exact"/>
        <w:rPr>
          <w:rFonts w:ascii="Times New Roman" w:cs="Times New Roman" w:eastAsia="Times New Roman" w:hAnsi="Times New Roman"/>
          <w:sz w:val="18"/>
          <w:szCs w:val="18"/>
          <w:b w:val="1"/>
          <w:bCs w:val="1"/>
          <w:color w:val="auto"/>
        </w:rPr>
      </w:pPr>
    </w:p>
    <w:p>
      <w:pPr>
        <w:jc w:val="both"/>
        <w:ind w:firstLine="656"/>
        <w:spacing w:after="0" w:line="269" w:lineRule="auto"/>
        <w:tabs>
          <w:tab w:leader="none" w:pos="14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have (a) paid all fees and other amounts earned, due and payable to the Agents pursuant to any agreements or arrangements pursuant to which the Borrower has agreed to compensate any Agent in connection with the transactions contemplated by this First Amendment and (b) to the extent invoiced at least two Business Days prior to the First Amendment Effective Date, reimbursed or paid all reasonable and documented out-of-pocket expenses in connection with this First Amendment and any other reasonable and documented out-of-pocket expenses of the Agents, including the reasonable fees, charges and disbursements of counsel for the Agents as required to be paid or reimbursed pursuant to the Credit Agreement.</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97" w:lineRule="auto"/>
        <w:tabs>
          <w:tab w:leader="none" w:pos="124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Event of Default shall have occurred and be continuing (both immediately before and immediately after giving effect to this First Amendment and the transactions contemplated by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3" w:name="page154"/>
    <w:bookmarkEnd w:id="153"/>
    <w:p>
      <w:pPr>
        <w:jc w:val="both"/>
        <w:ind w:firstLine="656"/>
        <w:spacing w:after="0" w:line="274" w:lineRule="auto"/>
        <w:tabs>
          <w:tab w:leader="none" w:pos="1229"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Administrative Agent shall have received a certificate, dated as of the First Amendment Effective Date and executed by a Responsible Officer of the Borrower, certifying (a) that the condition in </w:t>
      </w:r>
      <w:r>
        <w:rPr>
          <w:rFonts w:ascii="Times New Roman" w:cs="Times New Roman" w:eastAsia="Times New Roman" w:hAnsi="Times New Roman"/>
          <w:sz w:val="18"/>
          <w:szCs w:val="18"/>
          <w:u w:val="single" w:color="auto"/>
          <w:color w:val="auto"/>
        </w:rPr>
        <w:t>Section B.3.</w:t>
      </w:r>
      <w:r>
        <w:rPr>
          <w:rFonts w:ascii="Times New Roman" w:cs="Times New Roman" w:eastAsia="Times New Roman" w:hAnsi="Times New Roman"/>
          <w:sz w:val="18"/>
          <w:szCs w:val="18"/>
          <w:color w:val="auto"/>
        </w:rPr>
        <w:t xml:space="preserve"> above has been satisfied on such date and (b) as to the accuracy (with respect to clauses (i), (ii) and (iii) of </w:t>
      </w:r>
      <w:r>
        <w:rPr>
          <w:rFonts w:ascii="Times New Roman" w:cs="Times New Roman" w:eastAsia="Times New Roman" w:hAnsi="Times New Roman"/>
          <w:sz w:val="18"/>
          <w:szCs w:val="18"/>
          <w:u w:val="single" w:color="auto"/>
          <w:color w:val="auto"/>
        </w:rPr>
        <w:t>Section C.1.</w:t>
      </w:r>
      <w:r>
        <w:rPr>
          <w:rFonts w:ascii="Times New Roman" w:cs="Times New Roman" w:eastAsia="Times New Roman" w:hAnsi="Times New Roman"/>
          <w:sz w:val="18"/>
          <w:szCs w:val="18"/>
          <w:color w:val="auto"/>
        </w:rPr>
        <w:t xml:space="preserve"> of this First Amendment, in all material respects) of the matters set forth in </w:t>
      </w:r>
      <w:r>
        <w:rPr>
          <w:rFonts w:ascii="Times New Roman" w:cs="Times New Roman" w:eastAsia="Times New Roman" w:hAnsi="Times New Roman"/>
          <w:sz w:val="18"/>
          <w:szCs w:val="18"/>
          <w:u w:val="single" w:color="auto"/>
          <w:color w:val="auto"/>
        </w:rPr>
        <w:t>Section C.1.</w:t>
      </w:r>
      <w:r>
        <w:rPr>
          <w:rFonts w:ascii="Times New Roman" w:cs="Times New Roman" w:eastAsia="Times New Roman" w:hAnsi="Times New Roman"/>
          <w:sz w:val="18"/>
          <w:szCs w:val="18"/>
          <w:color w:val="auto"/>
        </w:rPr>
        <w:t xml:space="preserve"> of this First Amendment.</w:t>
      </w:r>
    </w:p>
    <w:p>
      <w:pPr>
        <w:spacing w:after="0" w:line="195"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37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have paid in full the aggregate principal amount of all Initial Term Loans outstanding as of the First Amendment Effective Date, together with all accrued and unpaid interest thereon and all other amounts required pursuant to the terms of the Credit Agreement (as modified hereby).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70" w:lineRule="auto"/>
        <w:tabs>
          <w:tab w:leader="none" w:pos="154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on or prior to the First Amendment Effective Date, all documentation and other information with respect to the Loan Parties that is requested by the Administrative Agent or a Lender party hereto and is required by regulatory authorities under applicable “know your customer” and anti-money laundering rules and regulations, including the PATRIOT Act and the Beneficial Ownership Regulation, in each case, to the extent reasonably requested in writing at least 5 Business Days prior to the First Amendment Effective Date by the Administrative Agent or any Lender party hereto.</w:t>
      </w:r>
    </w:p>
    <w:p>
      <w:pPr>
        <w:spacing w:after="0" w:line="182" w:lineRule="exact"/>
        <w:rPr>
          <w:sz w:val="20"/>
          <w:szCs w:val="20"/>
          <w:color w:val="auto"/>
        </w:rPr>
      </w:pPr>
    </w:p>
    <w:p>
      <w:pPr>
        <w:ind w:left="1280" w:hanging="624"/>
        <w:spacing w:after="0"/>
        <w:tabs>
          <w:tab w:leader="none" w:pos="12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Terms.</w:t>
      </w:r>
    </w:p>
    <w:p>
      <w:pPr>
        <w:spacing w:after="0" w:line="252" w:lineRule="exact"/>
        <w:rPr>
          <w:sz w:val="20"/>
          <w:szCs w:val="20"/>
          <w:color w:val="auto"/>
        </w:rPr>
      </w:pPr>
    </w:p>
    <w:p>
      <w:pPr>
        <w:ind w:firstLine="656"/>
        <w:spacing w:after="0" w:line="286" w:lineRule="auto"/>
        <w:tabs>
          <w:tab w:leader="none" w:pos="1327"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Party Representations and Warranties</w:t>
      </w:r>
      <w:r>
        <w:rPr>
          <w:rFonts w:ascii="Times New Roman" w:cs="Times New Roman" w:eastAsia="Times New Roman" w:hAnsi="Times New Roman"/>
          <w:sz w:val="18"/>
          <w:szCs w:val="18"/>
          <w:color w:val="auto"/>
        </w:rPr>
        <w:t>. By execution of this First Amendment, each Loan Party party hereto hereby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on behalf of itself and its respective Subsidiaries that are Loan Parties, that as of the First Amendment Effective Date:</w:t>
      </w:r>
    </w:p>
    <w:p>
      <w:pPr>
        <w:spacing w:after="0" w:line="172" w:lineRule="exact"/>
        <w:rPr>
          <w:sz w:val="20"/>
          <w:szCs w:val="20"/>
          <w:color w:val="auto"/>
        </w:rPr>
      </w:pPr>
    </w:p>
    <w:p>
      <w:pPr>
        <w:jc w:val="both"/>
        <w:ind w:left="1260" w:hanging="604"/>
        <w:spacing w:after="0" w:line="258" w:lineRule="auto"/>
        <w:tabs>
          <w:tab w:leader="none" w:pos="1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party hereto has the corporate or other organizational power and authority to execute and deliver this First Amendment and carry out the terms and provisions of this First Amendment and the Credit Agreement and the other Loan Documents (in each case, as modified hereby) and has taken all necessary corporate or other organizational action to authorize the execution and delivery of this First Amendment and performance of this First Amendment and the Credit Agreement and the other Loan Documents (in each case, as modified hereby);</w:t>
      </w:r>
    </w:p>
    <w:p>
      <w:pPr>
        <w:spacing w:after="0" w:line="196" w:lineRule="exact"/>
        <w:rPr>
          <w:rFonts w:ascii="Times New Roman" w:cs="Times New Roman" w:eastAsia="Times New Roman" w:hAnsi="Times New Roman"/>
          <w:sz w:val="18"/>
          <w:szCs w:val="18"/>
          <w:color w:val="auto"/>
        </w:rPr>
      </w:pPr>
    </w:p>
    <w:p>
      <w:pPr>
        <w:jc w:val="both"/>
        <w:ind w:left="1260" w:hanging="604"/>
        <w:spacing w:after="0" w:line="266" w:lineRule="auto"/>
        <w:tabs>
          <w:tab w:leader="none" w:pos="1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party hereto has duly executed and delivered this First Amendment and each of this First Amendment and the Credit Agreement and the other Loan Documents (in each case, as modified hereby) constitutes the legal, valid and binding obligation of such Loan Party enforceable in accordance with its terms, subject to the Legal Reservations;</w:t>
      </w:r>
    </w:p>
    <w:p>
      <w:pPr>
        <w:spacing w:after="0" w:line="189" w:lineRule="exact"/>
        <w:rPr>
          <w:rFonts w:ascii="Times New Roman" w:cs="Times New Roman" w:eastAsia="Times New Roman" w:hAnsi="Times New Roman"/>
          <w:sz w:val="18"/>
          <w:szCs w:val="18"/>
          <w:color w:val="auto"/>
        </w:rPr>
      </w:pPr>
    </w:p>
    <w:p>
      <w:pPr>
        <w:jc w:val="both"/>
        <w:ind w:left="1260" w:hanging="604"/>
        <w:spacing w:after="0" w:line="256" w:lineRule="auto"/>
        <w:tabs>
          <w:tab w:leader="none" w:pos="1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such Loan Party contained in Article V of the Credit Agreement and in the other Loan Documents (in each case, as modified hereby) are true and correct in all material respects (or, for any representation and warranty already qualified by materiality, in all respects) on and as of the First Amendment Effective Date to the same extent as though made on and as of the First Amendment Effective Date, except to the extent such representations and warranties expressly relate to an earlier date, in which case such representations and warranties shall have been true and correct in all material respects (or, for any representation and warranty already qualified by materiality, in all respects) on and as of such earlier date; and</w:t>
      </w:r>
    </w:p>
    <w:p>
      <w:pPr>
        <w:spacing w:after="0" w:line="187" w:lineRule="exact"/>
        <w:rPr>
          <w:rFonts w:ascii="Times New Roman" w:cs="Times New Roman" w:eastAsia="Times New Roman" w:hAnsi="Times New Roman"/>
          <w:sz w:val="18"/>
          <w:szCs w:val="18"/>
          <w:color w:val="auto"/>
        </w:rPr>
      </w:pPr>
    </w:p>
    <w:p>
      <w:pPr>
        <w:ind w:left="1260" w:hanging="604"/>
        <w:spacing w:after="0" w:line="282" w:lineRule="auto"/>
        <w:tabs>
          <w:tab w:leader="none" w:pos="1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result from the consummation of the transactions contemplated hereby.</w:t>
      </w:r>
    </w:p>
    <w:p>
      <w:pPr>
        <w:spacing w:after="0" w:line="171" w:lineRule="exact"/>
        <w:rPr>
          <w:sz w:val="20"/>
          <w:szCs w:val="20"/>
          <w:color w:val="auto"/>
        </w:rPr>
      </w:pPr>
    </w:p>
    <w:p>
      <w:pPr>
        <w:ind w:right="20" w:firstLine="656"/>
        <w:spacing w:after="0" w:line="302" w:lineRule="auto"/>
        <w:tabs>
          <w:tab w:leader="none" w:pos="1341"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Modification and Waiver</w:t>
      </w:r>
      <w:r>
        <w:rPr>
          <w:rFonts w:ascii="Times New Roman" w:cs="Times New Roman" w:eastAsia="Times New Roman" w:hAnsi="Times New Roman"/>
          <w:sz w:val="18"/>
          <w:szCs w:val="18"/>
          <w:color w:val="auto"/>
        </w:rPr>
        <w:t>. This First Amendment may not be amended, modified or waived except by an instrument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in writing signed and delivered in accordance with the provisions of Section 10.01 of the Credit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76" w:lineRule="auto"/>
        <w:tabs>
          <w:tab w:leader="none" w:pos="139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First Amendment, the Credit Agreement (as modified hereby) and the other Loan Documents constitute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ind w:right="20" w:firstLine="656"/>
        <w:spacing w:after="0" w:line="302" w:lineRule="auto"/>
        <w:tabs>
          <w:tab w:leader="none" w:pos="1408"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FIRST AMENDMENT AND THE RIGHTS AND OBLIGATIONS OF THE PARTIES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GOVERNED BY, CONSTRUED AND INTERPRETED IN ACCORDANCE WITH, THE LAWS OF THE STATE OF NEW YORK.</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43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Any term or provision of this First Amendment which is invalid or unenforceable in any jurisdiction shall, as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be ineffective to the extent of such invalidity or unenforceability without rendering invalid or unenforceable the remaining terms and provisions of this First Amendment or affecting the validity or enforceability of any of the terms or provisions of this First Amendment in any other jurisdiction. If any provision of this First Amendment is so broad as to be unenforceable, the provision shall be interpreted to be only so broad as would be enforceable.</w:t>
      </w:r>
    </w:p>
    <w:p>
      <w:pPr>
        <w:spacing w:after="0" w:line="181"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153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First Amendment may be executed in one or more counterparts (and by different parties hereto in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counterparts), each of which shall be deemed an original, but all of which together shall constitute one and the same instrument. Delivery by fax or other electronic transmission of an executed counterpart of a signature page to this First Amendment shall be effective as delivery of an original executed counterpart of this First Amendment and the words “execution,” “execute”, “signed,” “signature,” and words of like import in or related to any document to be signed in connection with this First Amendment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in its discretion, require that any such documents and signatures executed electronically or delivered by fax or other electronic transmission be confirmed by a manually-signed original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executed electronically or delivered by fax or other electronic transmission.</w:t>
      </w:r>
    </w:p>
    <w:p>
      <w:pPr>
        <w:spacing w:after="0" w:line="194" w:lineRule="exact"/>
        <w:rPr>
          <w:rFonts w:ascii="Times New Roman" w:cs="Times New Roman" w:eastAsia="Times New Roman" w:hAnsi="Times New Roman"/>
          <w:sz w:val="18"/>
          <w:szCs w:val="18"/>
          <w:b w:val="1"/>
          <w:bCs w:val="1"/>
          <w:color w:val="auto"/>
        </w:rPr>
      </w:pPr>
    </w:p>
    <w:p>
      <w:pPr>
        <w:ind w:left="1240" w:hanging="584"/>
        <w:spacing w:after="0"/>
        <w:tabs>
          <w:tab w:leader="none" w:pos="12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Submission to Jurisdiction</w:t>
      </w:r>
      <w:r>
        <w:rPr>
          <w:rFonts w:ascii="Times New Roman" w:cs="Times New Roman" w:eastAsia="Times New Roman" w:hAnsi="Times New Roman"/>
          <w:sz w:val="18"/>
          <w:szCs w:val="18"/>
          <w:color w:val="auto"/>
        </w:rPr>
        <w:t>. Each party hereto irrevocably and unconditionally:</w:t>
      </w:r>
    </w:p>
    <w:p>
      <w:pPr>
        <w:spacing w:after="0" w:line="256" w:lineRule="exact"/>
        <w:rPr>
          <w:sz w:val="20"/>
          <w:szCs w:val="20"/>
          <w:color w:val="auto"/>
        </w:rPr>
      </w:pPr>
    </w:p>
    <w:p>
      <w:pPr>
        <w:jc w:val="both"/>
        <w:ind w:left="1260" w:hanging="604"/>
        <w:spacing w:after="0" w:line="261"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First Amendment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sitting in the Borough of Manhattan and appellate courts from any thereof;</w:t>
      </w:r>
    </w:p>
    <w:p>
      <w:pPr>
        <w:spacing w:after="0" w:line="179" w:lineRule="exact"/>
        <w:rPr>
          <w:rFonts w:ascii="Times New Roman" w:cs="Times New Roman" w:eastAsia="Times New Roman" w:hAnsi="Times New Roman"/>
          <w:sz w:val="18"/>
          <w:szCs w:val="18"/>
          <w:color w:val="auto"/>
        </w:rPr>
      </w:pPr>
    </w:p>
    <w:p>
      <w:pPr>
        <w:jc w:val="both"/>
        <w:ind w:left="1260" w:right="20" w:hanging="604"/>
        <w:spacing w:after="0" w:line="266"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9" w:lineRule="exact"/>
        <w:rPr>
          <w:rFonts w:ascii="Times New Roman" w:cs="Times New Roman" w:eastAsia="Times New Roman" w:hAnsi="Times New Roman"/>
          <w:sz w:val="18"/>
          <w:szCs w:val="18"/>
          <w:color w:val="auto"/>
        </w:rPr>
      </w:pPr>
    </w:p>
    <w:p>
      <w:pPr>
        <w:jc w:val="both"/>
        <w:ind w:left="1260" w:hanging="604"/>
        <w:spacing w:after="0" w:line="266"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such Person at such address of which the Administrative Agent shall have been notified pursuant to Section 10.02 of the Credit Agreement;</w:t>
      </w:r>
    </w:p>
    <w:p>
      <w:pPr>
        <w:spacing w:after="0" w:line="189" w:lineRule="exact"/>
        <w:rPr>
          <w:rFonts w:ascii="Times New Roman" w:cs="Times New Roman" w:eastAsia="Times New Roman" w:hAnsi="Times New Roman"/>
          <w:sz w:val="18"/>
          <w:szCs w:val="18"/>
          <w:color w:val="auto"/>
        </w:rPr>
      </w:pPr>
    </w:p>
    <w:p>
      <w:pPr>
        <w:ind w:left="1260" w:right="20" w:hanging="604"/>
        <w:spacing w:after="0" w:line="282"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w:t>
      </w:r>
    </w:p>
    <w:p>
      <w:pPr>
        <w:spacing w:after="0" w:line="161" w:lineRule="exact"/>
        <w:rPr>
          <w:rFonts w:ascii="Times New Roman" w:cs="Times New Roman" w:eastAsia="Times New Roman" w:hAnsi="Times New Roman"/>
          <w:sz w:val="18"/>
          <w:szCs w:val="18"/>
          <w:color w:val="auto"/>
        </w:rPr>
      </w:pPr>
    </w:p>
    <w:p>
      <w:pPr>
        <w:ind w:left="1260" w:hanging="604"/>
        <w:spacing w:after="0" w:line="282"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to the maximum extent not prohibited by applicable law, any right it may have to claim or recover in any legal action or proceeding referred to in this </w:t>
      </w:r>
      <w:r>
        <w:rPr>
          <w:rFonts w:ascii="Times New Roman" w:cs="Times New Roman" w:eastAsia="Times New Roman" w:hAnsi="Times New Roman"/>
          <w:sz w:val="18"/>
          <w:szCs w:val="18"/>
          <w:u w:val="single" w:color="auto"/>
          <w:color w:val="auto"/>
        </w:rPr>
        <w:t>Section C.7.</w:t>
      </w:r>
      <w:r>
        <w:rPr>
          <w:rFonts w:ascii="Times New Roman" w:cs="Times New Roman" w:eastAsia="Times New Roman" w:hAnsi="Times New Roman"/>
          <w:sz w:val="18"/>
          <w:szCs w:val="18"/>
          <w:color w:val="auto"/>
        </w:rPr>
        <w:t xml:space="preserve"> any special, exemplary, punitive or consequential damages; and</w:t>
      </w:r>
    </w:p>
    <w:p>
      <w:pPr>
        <w:spacing w:after="0" w:line="175" w:lineRule="exact"/>
        <w:rPr>
          <w:rFonts w:ascii="Times New Roman" w:cs="Times New Roman" w:eastAsia="Times New Roman" w:hAnsi="Times New Roman"/>
          <w:sz w:val="18"/>
          <w:szCs w:val="18"/>
          <w:color w:val="auto"/>
        </w:rPr>
      </w:pPr>
    </w:p>
    <w:p>
      <w:pPr>
        <w:ind w:left="1260" w:hanging="604"/>
        <w:spacing w:after="0" w:line="282" w:lineRule="auto"/>
        <w:tabs>
          <w:tab w:leader="none" w:pos="1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 final judgment in any action or proceeding shall be conclusive and may be enforced in other jurisdictions by suit on the judgment or in any other manner provided by applicable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jc w:val="both"/>
        <w:ind w:firstLine="656"/>
        <w:spacing w:after="0" w:line="276" w:lineRule="auto"/>
        <w:tabs>
          <w:tab w:leader="none" w:pos="123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PARTY HERETO HEREBY IRREVOCABLY AND UNCONDITIONALLY WAIVES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TRIAL BY JURY IN ANY LEGAL ACTION OR PROCEEDING RELATING TO THIS FIRST AMENDMENT AND FOR ANY COUNTERCLAIM THEREIN.</w:t>
      </w:r>
    </w:p>
    <w:p>
      <w:pPr>
        <w:spacing w:after="0" w:line="19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462"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Reaffirmation</w:t>
      </w:r>
      <w:r>
        <w:rPr>
          <w:rFonts w:ascii="Times New Roman" w:cs="Times New Roman" w:eastAsia="Times New Roman" w:hAnsi="Times New Roman"/>
          <w:sz w:val="18"/>
          <w:szCs w:val="18"/>
          <w:color w:val="auto"/>
        </w:rPr>
        <w:t>. By executing and delivering a counterpart hereof, (i) each Loan Party hereto, on behalf of itself and its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that are Loan Parties hereby agrees that, as of the First Amendment Effective Date and after giving effect to this First Amendment and the transactions contemplated hereby, all Obligations of the Borrower that remain after the prepayment of the term loan contemplated hereby shall be guaranteed pursuant to the Guaranty in accordance with the terms and provisions thereof and shall be secured pursuant to the Collateral Documents in accordance with the terms and provisions thereof; (ii) each Loan Party hereto, on behalf of itself and its respective Subsidiaries that are Loan Parties that, hereby (A) agrees that, notwithstanding the effectiveness of this First Amendment, as of the First Amendment Effective Date and after giving effect thereto, the Collateral Documents continue to be in full force and effect, (B) agrees that, as of the First Amendment Effective Date and after giving effect to this First Amendment and the transactions contemplated hereby, all of the Liens and security interests created and arising under each Collateral Document to which it is a party remain in full force and effect on a continuous basis, and the perfected status and priority of each such Lien and security interest continues in full force and effect on a continuous basis, unimpaired, uninterrupted and undischarged, as collateral security for its Obligations under the Loan Documents (as modified hereby) to which it is a party, in each case, to the extent provided in, and subject to the limitations and qualifications set forth in, such Loan Documents (as modified hereby) and (C) affirms and confirms all of its obligations and liabilities under the Credit Agreement and each other Loan Document (as modified hereby) to which it is a party, in each case after giving effect to this First Amendment and the transactions contemplated hereby, including its guarantee of the Obligations and the pledge of and/or grant of a security interest in its assets as Collateral pursuant to the Collateral Documents to which it is a party to secure such Obligations, all as provided in the Collateral Documents, and acknowledges and agrees that, as of the First Amendment Effective Date, such obligations, liabilities, guarantee, pledge and grant continue in full force and effect in respect of, and to secure, such Obligations under the Credit Agreement and the other Loan Documents, in each case after giving effect to this First Amendment and the transactions contemplated hereby; and (iii) each Loan Party hereto, on behalf of itself and its respective Subsidiaries that are Loan Parties, hereby agrees that nothing in the Credit Agreement, this First Amendment or any other Loan Document shall be deemed to require the consent of such Loan Party to any future amendment to the Credit Agreement (as modified hereby).</w:t>
      </w:r>
    </w:p>
    <w:p>
      <w:pPr>
        <w:spacing w:after="0" w:line="192"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417"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First Amendment shall constitute a Loan Document for all purposes of the Credit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 each case, as modified hereby). Except as specifically modified by this First Amendment, (i) the Credit Agreement and the other Loan Documents shall remain in full force and effect and (ii) the execution, delivery and performance of this First Amendment shall not constitute a waiver of any provision of, or operate as a waiver of any right, power or remedy of any Agent or Lender under, the Credit Agreement or any of the other Loan Documents.</w:t>
      </w:r>
    </w:p>
    <w:p>
      <w:pPr>
        <w:spacing w:after="0" w:line="1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[SIGNATURES APPEAR ON THE FOLLOWING PAGES]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caused its duly authorized officer to execute and deliver this First Amendment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set forth above.</w:t>
      </w:r>
    </w:p>
    <w:p>
      <w:pPr>
        <w:spacing w:after="0" w:line="1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GROUP US HOLDINGS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3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Sagi Niri</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Sagi Niri</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Amy Rothstein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Amy Rothstein</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HOLDINGS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Holdings</w:t>
      </w:r>
    </w:p>
    <w:p>
      <w:pPr>
        <w:spacing w:after="0" w:line="220"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Sagi Niri</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Sagi Niri</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Amy Rothstein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Amy Rothstein</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Parent</w:t>
      </w:r>
    </w:p>
    <w:p>
      <w:pPr>
        <w:spacing w:after="0" w:line="23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Sagi Niri</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Sagi Niri</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Amy Rothstein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Amy Rothstein</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ind w:left="450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34"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Annie Lee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Annie Lee</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Associate Director, Agency Services</w:t>
      </w:r>
    </w:p>
    <w:p>
      <w:pPr>
        <w:spacing w:after="0" w:line="2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an L/Ci Issuer and a Lender</w:t>
      </w:r>
    </w:p>
    <w:p>
      <w:pPr>
        <w:spacing w:after="0" w:line="234"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Jessica Li</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Jessica Li</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HSBC BANK USA, N.A.,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an L/C Issuer and a Lender</w:t>
      </w:r>
    </w:p>
    <w:p>
      <w:pPr>
        <w:spacing w:after="0" w:line="234"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Mackenzie Wood</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Mackenzie Wood</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Senior Vice President #23666</w:t>
      </w:r>
    </w:p>
    <w:p>
      <w:pPr>
        <w:spacing w:after="0" w:line="230" w:lineRule="exact"/>
        <w:rPr>
          <w:sz w:val="20"/>
          <w:szCs w:val="20"/>
          <w:color w:val="auto"/>
        </w:rPr>
      </w:pPr>
    </w:p>
    <w:p>
      <w:pPr>
        <w:ind w:left="45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FIRST CITIZENS BANK &amp; TRUST COMPANY </w:t>
      </w:r>
      <w:r>
        <w:rPr>
          <w:rFonts w:ascii="Times New Roman" w:cs="Times New Roman" w:eastAsia="Times New Roman" w:hAnsi="Times New Roman"/>
          <w:sz w:val="18"/>
          <w:szCs w:val="18"/>
          <w:color w:val="auto"/>
        </w:rPr>
        <w:t>(successor by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Federal Deposit Insurance Corporation as Receiver for Silicon Valley Bridge Bank, N.A. (as successor to Silicon Valley Bank)), as an L/C Issuer and a Lender</w:t>
      </w:r>
    </w:p>
    <w:p>
      <w:pPr>
        <w:spacing w:after="0" w:line="183"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Jaime Mariano</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Jaime Mariano</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GOLDMAN SACHS BANK USA,</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an L/C Issuer and a Lender</w:t>
      </w:r>
    </w:p>
    <w:p>
      <w:pPr>
        <w:spacing w:after="0" w:line="234"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Priyankush Goswami</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Priyankush Goswami</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Nexxen – First Amendment]</w:t>
      </w: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4.8</w:t>
      </w:r>
    </w:p>
    <w:p>
      <w:pPr>
        <w:spacing w:after="0" w:line="24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u w:val="single" w:color="auto"/>
          <w:color w:val="auto"/>
        </w:rPr>
        <w:t>SECOND AMENDMENT TO CREDIT AGREEMENT</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SECOND AMENDMENT TO CREDIT AGREEMENT, dated as of May 29, 2025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this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Nexxen Group US Holdings Inc (f/k/a Unruly Group US Holding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NEXXEN HOLDINGS LTD (f/k/a Unruly Holdings Limited), a private limited company organized under the laws of England and Wales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Nexxen International Ltd. (f/k/a Tremor International Ltd.), a company organized under the laws of the State of Israel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other Guarantors party hereto,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each L/C Issuer party hereto and Royal Bank of Canada (“</w:t>
      </w:r>
      <w:r>
        <w:rPr>
          <w:rFonts w:ascii="Times New Roman" w:cs="Times New Roman" w:eastAsia="Times New Roman" w:hAnsi="Times New Roman"/>
          <w:sz w:val="18"/>
          <w:szCs w:val="18"/>
          <w:u w:val="single" w:color="auto"/>
          <w:color w:val="auto"/>
        </w:rPr>
        <w:t>RBC</w:t>
      </w:r>
      <w:r>
        <w:rPr>
          <w:rFonts w:ascii="Times New Roman" w:cs="Times New Roman" w:eastAsia="Times New Roman" w:hAnsi="Times New Roman"/>
          <w:sz w:val="18"/>
          <w:szCs w:val="18"/>
          <w:color w:val="auto"/>
        </w:rPr>
        <w:t>”), as Administrative Agent and Collateral Agent. Capitalized terms used but not defined herein shall have the respective meanings assigned to such terms in the Credit Agreement (as modified hereby).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3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reference is hereby made to that certain Credit Agreement, dated as of September 12, 2022 (as amended, restated,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supplemented and/or otherwise modified from time to time prior to the Second Amendment Effective Date referred to below,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inter alios, the Borrower, Holdings, the Parent, each Lender party thereto, each L/C Issuer party thereto and RBC as Administrative Agent and Collateral Agent; and</w:t>
      </w:r>
    </w:p>
    <w:p>
      <w:pPr>
        <w:spacing w:after="0" w:line="17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10.01 of the Credit Agreement, the Loan Parties and the Lenders agree to amend certain provisions of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set forth herein, in each case subject to the terms and conditions hereof;</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agreements, provisions and covenants herein contained, the parties hereto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0" w:lineRule="exact"/>
        <w:rPr>
          <w:sz w:val="20"/>
          <w:szCs w:val="20"/>
          <w:color w:val="auto"/>
        </w:rPr>
      </w:pPr>
    </w:p>
    <w:p>
      <w:pPr>
        <w:ind w:right="20" w:firstLine="656"/>
        <w:spacing w:after="0" w:line="302" w:lineRule="auto"/>
        <w:tabs>
          <w:tab w:leader="none" w:pos="1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Credit Agreement and Schedules to the Credit Agreement; Specified Commitment Terminations</w:t>
      </w:r>
      <w:r>
        <w:rPr>
          <w:rFonts w:ascii="Times New Roman" w:cs="Times New Roman" w:eastAsia="Times New Roman" w:hAnsi="Times New Roman"/>
          <w:sz w:val="18"/>
          <w:szCs w:val="18"/>
          <w:color w:val="auto"/>
        </w:rPr>
        <w:t>.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Amendment Effective Date, and subject to the terms and conditions set forth herein:</w:t>
      </w:r>
    </w:p>
    <w:p>
      <w:pPr>
        <w:spacing w:after="0" w:line="15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The Credit Agreement is hereby amended to incorporate the changes reflected in the redlined version of the Credit Agreement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delete the stricken text (indicated textually in the same manner as the following example: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-27305</wp:posOffset>
            </wp:positionV>
            <wp:extent cx="10369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7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The Revolving Credit Commitments in effect immediately prior to giving effect to this Second Amendment on the 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are hereby terminated as follows (and in the following order): (i) the existing Revolving Credit Commitments held by Goldman Sachs Bank USA are hereby terminated in their entirety (and, for the avoidance of doubt, immediately upon giving effect to such termination, Goldman Sachs Bank USA shall not be a Lender or an L/C Issuer (with such termination constituting the resignation of Goldman Sachs Bank USA as an L/C Issuer with immediate effect notwithstanding anything to the contrary in Section 10.07(l) of the Credit Agreement)), (ii) the existing Revolving Credit Commitments held by Royal Bank of Canada are hereby terminated in an aggregate amount equal to $2,500,000, (iii) the existing Revolving Credit commitments held by HSBC Bank USA, N.A. are hereby terminated in an aggregate amount equal to $12,500,000 and (iv) the existing Revolving Credit Commitments held by First-Citizens Bank &amp; Trust Company are hereby terminated in an aggregate amount equal to $10,000,000 (the terminations described in this </w:t>
      </w:r>
      <w:r>
        <w:rPr>
          <w:rFonts w:ascii="Times New Roman" w:cs="Times New Roman" w:eastAsia="Times New Roman" w:hAnsi="Times New Roman"/>
          <w:sz w:val="18"/>
          <w:szCs w:val="18"/>
          <w:u w:val="single" w:color="auto"/>
          <w:color w:val="auto"/>
        </w:rPr>
        <w:t>Section A.2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Specified Commitment Terminations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0" w:name="page161"/>
    <w:bookmarkEnd w:id="160"/>
    <w:p>
      <w:pPr>
        <w:jc w:val="both"/>
        <w:ind w:firstLine="656"/>
        <w:spacing w:after="0" w:line="271" w:lineRule="auto"/>
        <w:tabs>
          <w:tab w:leader="none" w:pos="14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Bank of Nova Scotia is hereby appointed as an L/C Issuer under the Credit Agreement and the other Loan Documents with the portion of the Letter of Credit Sublimit specified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Bank of Nova Scotia hereby accepts such appointment, and each of the Borrower and the Administrative Agent consent to such appointment. For the avoidance of doubt, each of the Borrower, the Administrative Agent and each L/C Issuer (including The Bank of Nova Scotia) hereby consent to each of Citibank, N.A. and The Bank of Nova Scotia being a Revolving Credit Lender.</w:t>
      </w:r>
    </w:p>
    <w:p>
      <w:pPr>
        <w:spacing w:after="0" w:line="18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1.01(c) to the Credit Agreement is hereby amended and restated in its entirety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238" w:lineRule="exact"/>
        <w:rPr>
          <w:rFonts w:ascii="Times New Roman" w:cs="Times New Roman" w:eastAsia="Times New Roman" w:hAnsi="Times New Roman"/>
          <w:sz w:val="18"/>
          <w:szCs w:val="18"/>
          <w:color w:val="auto"/>
        </w:rPr>
      </w:pPr>
    </w:p>
    <w:p>
      <w:pPr>
        <w:ind w:firstLine="656"/>
        <w:spacing w:after="0" w:line="297" w:lineRule="auto"/>
        <w:tabs>
          <w:tab w:leader="none" w:pos="13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Schedule 2.01 to the Credit Agreement entitled “Revolving Credit Commitment” is hereby amended and restated in its entirety (for the avoidance of doubt, after giving effect to the Specified Commitment Terminations)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59" w:lineRule="exact"/>
        <w:rPr>
          <w:sz w:val="20"/>
          <w:szCs w:val="20"/>
          <w:color w:val="auto"/>
        </w:rPr>
      </w:pPr>
    </w:p>
    <w:p>
      <w:pPr>
        <w:ind w:firstLine="656"/>
        <w:spacing w:after="0" w:line="302" w:lineRule="auto"/>
        <w:tabs>
          <w:tab w:leader="none" w:pos="1357"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 This Second Amendment shall become effective as of the first date (the “</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when each of the conditions set forth in this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xml:space="preserve"> shall have been satisfied:</w:t>
      </w:r>
    </w:p>
    <w:p>
      <w:pPr>
        <w:spacing w:after="0" w:line="158" w:lineRule="exact"/>
        <w:rPr>
          <w:sz w:val="20"/>
          <w:szCs w:val="20"/>
          <w:color w:val="auto"/>
        </w:rPr>
      </w:pPr>
    </w:p>
    <w:p>
      <w:pPr>
        <w:jc w:val="both"/>
        <w:ind w:firstLine="656"/>
        <w:spacing w:after="0" w:line="281" w:lineRule="auto"/>
        <w:tabs>
          <w:tab w:leader="none" w:pos="1297"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duly executed counterparts hereof that, when taken together, bear the signatures of (a) the Borrower, (b) Holdings, (c) the Parent, (d) each other Guarantor, (e) the Administrative Agent and the Collateral Agent and (f) each Lender and each L/C Issuer.</w:t>
      </w:r>
    </w:p>
    <w:p>
      <w:pPr>
        <w:spacing w:after="0" w:line="177"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4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have (a) paid all fees and other amounts earned, due and payable to the Agents pursuant to any agreements or arrangements pursuant to which the Borrower has agreed to compensate any Agent in connection with the transactions contemplated by this Second Amendment and (b) to the extent invoiced at least two Business Days prior to the Second Amendment Effective Date, reimbursed or paid all reasonable and documented out-of-pocket expenses in connection with this Second Amendment and any other reasonable and documented out-of-pocket expenses of the Agents, including the reasonable fees, charges and disbursements of counsel for the Agents as required to be paid or reimbursed pursuant to the Credit Agreement.</w:t>
      </w:r>
    </w:p>
    <w:p>
      <w:pPr>
        <w:spacing w:after="0" w:line="189" w:lineRule="exact"/>
        <w:rPr>
          <w:rFonts w:ascii="Times New Roman" w:cs="Times New Roman" w:eastAsia="Times New Roman" w:hAnsi="Times New Roman"/>
          <w:sz w:val="18"/>
          <w:szCs w:val="18"/>
          <w:b w:val="1"/>
          <w:bCs w:val="1"/>
          <w:color w:val="auto"/>
        </w:rPr>
      </w:pPr>
    </w:p>
    <w:p>
      <w:pPr>
        <w:ind w:firstLine="656"/>
        <w:spacing w:after="0" w:line="297" w:lineRule="auto"/>
        <w:tabs>
          <w:tab w:leader="none" w:pos="1237"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Event of Default shall have occurred and be continuing on the Second Amendment Effective Date (both immediately before and immediately after giving effect to this Second Amendment and the transactions contemplated by this Second Amendment).</w:t>
      </w:r>
    </w:p>
    <w:p>
      <w:pPr>
        <w:spacing w:after="0" w:line="162"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481"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Administrative Agent shall have received a certificate, dated as of the Second Amendment Effective Date and executed by a Responsible Officer of the Borrower, certifying (a) that the condition in </w:t>
      </w:r>
      <w:r>
        <w:rPr>
          <w:rFonts w:ascii="Times New Roman" w:cs="Times New Roman" w:eastAsia="Times New Roman" w:hAnsi="Times New Roman"/>
          <w:sz w:val="18"/>
          <w:szCs w:val="18"/>
          <w:u w:val="single" w:color="auto"/>
          <w:color w:val="auto"/>
        </w:rPr>
        <w:t>Section B.3.</w:t>
      </w:r>
      <w:r>
        <w:rPr>
          <w:rFonts w:ascii="Times New Roman" w:cs="Times New Roman" w:eastAsia="Times New Roman" w:hAnsi="Times New Roman"/>
          <w:sz w:val="18"/>
          <w:szCs w:val="18"/>
          <w:color w:val="auto"/>
        </w:rPr>
        <w:t xml:space="preserve"> above has been satisfied on such date and (b) as to the accuracy (with respect to clauses (i) and (ii) of </w:t>
      </w:r>
      <w:r>
        <w:rPr>
          <w:rFonts w:ascii="Times New Roman" w:cs="Times New Roman" w:eastAsia="Times New Roman" w:hAnsi="Times New Roman"/>
          <w:sz w:val="18"/>
          <w:szCs w:val="18"/>
          <w:u w:val="single" w:color="auto"/>
          <w:color w:val="auto"/>
        </w:rPr>
        <w:t>Section C.1.</w:t>
      </w:r>
      <w:r>
        <w:rPr>
          <w:rFonts w:ascii="Times New Roman" w:cs="Times New Roman" w:eastAsia="Times New Roman" w:hAnsi="Times New Roman"/>
          <w:sz w:val="18"/>
          <w:szCs w:val="18"/>
          <w:color w:val="auto"/>
        </w:rPr>
        <w:t xml:space="preserve"> of this Second Amendment, in all material respects) of the matters set forth in </w:t>
      </w:r>
      <w:r>
        <w:rPr>
          <w:rFonts w:ascii="Times New Roman" w:cs="Times New Roman" w:eastAsia="Times New Roman" w:hAnsi="Times New Roman"/>
          <w:sz w:val="18"/>
          <w:szCs w:val="18"/>
          <w:u w:val="single" w:color="auto"/>
          <w:color w:val="auto"/>
        </w:rPr>
        <w:t>Section C.1.</w:t>
      </w:r>
      <w:r>
        <w:rPr>
          <w:rFonts w:ascii="Times New Roman" w:cs="Times New Roman" w:eastAsia="Times New Roman" w:hAnsi="Times New Roman"/>
          <w:sz w:val="18"/>
          <w:szCs w:val="18"/>
          <w:color w:val="auto"/>
        </w:rPr>
        <w:t xml:space="preserve"> of this Second Amendment.</w:t>
      </w:r>
    </w:p>
    <w:p>
      <w:pPr>
        <w:spacing w:after="0" w:line="19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479"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in relation to Parent, Holdings and each UK Subsidiary Guarantor, the Administrative Agent shall have received (x) a certificate of good standing (or equivalent, to the extent applicable in the relevant jurisdiction) with respect to each Loan Party from the Secretary of State (or equivalent official) of the State of such Loan Party’s organization and (y) a certificate executed by a Responsible Officer of the Borrower, dated the Second Amendment Effective Date, attaching (i) a true and complete copy of the certificate of incorporation (or other applicable charter document) of each Loan Party, including all amendments thereto, as in effect on the Second Amendment Effective Date, certified as of a recent date by the Secretary of State (or analogous official) of the jurisdiction of its organization, that has not been amended since the date of the last amendment thereto shown on the certificate of good standing (or equivalent, to the extent applicable) furnished pursuant to clause (x) above, (ii) a true and complete copy of the by-laws (or other applicable operating agreements) of each Loan Party as in effect on the Second Amendment Effective Date and (iii) a true and complete copy of resolutions duly adopted or written consents duly executed by the board of directors (or equivalent governing body or any committee thereof) of each Loan Party authorizing the execution, delivery and performance of this Second Amendment, the Credit Agreement and the other Loan Documents (in each case, as modified hereby) and certifying that such resolutions or written consents have not been modified, rescinded or amended and are in full force and effect. Notwithstanding the foregoing, the conditions set forth in clauses (y)(i) and (y)(ii) of the immediately preceding sentence may be satisfied by a certification of a Responsible Officer of the Borrower certifying that there have been no changes to the applicable Organization Documents referred to in clauses (y)(i) and (y)(ii) in the immediately preceding sentence since the versions thereof previously delivered to the Administrative Agent.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1" w:name="page162"/>
    <w:bookmarkEnd w:id="161"/>
    <w:p>
      <w:pPr>
        <w:jc w:val="both"/>
        <w:ind w:firstLine="656"/>
        <w:spacing w:after="0" w:line="266" w:lineRule="auto"/>
        <w:tabs>
          <w:tab w:leader="none" w:pos="1437"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Holdings and each UK Subsidiary Guarantor, the Administrative Agent shall have received a certificate from each of Holdings and each UK Subsidiary Guarantor (signed by a director), dated the Second Amendment Effective Date, attaching (i) a true and complete copy of its certificate of incorporation, including any certificates of change of name, as in effect on the Second Amendment Effective Date, (ii) a true and complete copy of its articles of association as in effect on the Second Amendment Effective Date and (iii) a true and complete copy of resolutions duly adopted or written consents duly executed by its board of directors authorizing the execution, delivery and performance of this Second Amendment, the performance of the Credit Agreement and the other Loan Documents (in each case, as modified hereby) and certifying that such resolutions or written consents have not been modified, rescinded or amended and are in full force and effect.</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3" w:lineRule="auto"/>
        <w:tabs>
          <w:tab w:leader="none" w:pos="1293"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relation to Parent, the Administrative Agent shall have received a certificate signed by an authorized signatory of the Parent dated the Second Amendment Effective Date, attaching (i) a true and complete copy of its certificate of incorporation, including any certificates of change of name, as in effect on the Second Amendment Effective Date, (ii) a true and complete copy of its articles of association as in effect on the Second Amendment Effective Date, (iii) a true and complete copy of its directors registry, as in effect on the Second Amendment Effective Date, (iv) an up to date extract from a search against Parent at the Israeli Companies Registrar, evidencing that (x) it is not registered by the Israeli Companies Registrar as a "company in breach" (“</w:t>
      </w:r>
      <w:r>
        <w:rPr>
          <w:rFonts w:ascii="Times New Roman" w:cs="Times New Roman" w:eastAsia="Times New Roman" w:hAnsi="Times New Roman"/>
          <w:sz w:val="18"/>
          <w:szCs w:val="18"/>
          <w:i w:val="1"/>
          <w:iCs w:val="1"/>
          <w:color w:val="auto"/>
        </w:rPr>
        <w:t>hevrah meferah</w:t>
      </w:r>
      <w:r>
        <w:rPr>
          <w:rFonts w:ascii="Times New Roman" w:cs="Times New Roman" w:eastAsia="Times New Roman" w:hAnsi="Times New Roman"/>
          <w:sz w:val="18"/>
          <w:szCs w:val="18"/>
          <w:color w:val="auto"/>
        </w:rPr>
        <w:t>”) and (y) there is no outstanding Lien over its assets other than as permitted under the Loan Documents, (v) true and complete copy of a resolution of its board of directors authorizing the execution, delivery and performance of this Second Amendment, the performance of the Credit Agreement and the other Loan Documents (in each case, as modified hereby), certifying that such resolutions or written consents have not been modified, rescinded or amended and are in full force and effect, and certifying, pursuant to sections 256(d) and 282 of the Israeli Companies Law, that all approvals, as required under the Israeli Companies Law (including, without limitation, to the extent applicable, under sections 256, 270-272 and Section 277 thereof) and its Organization Documents, have been duly obtained for the transactions contemplated by this Second Amendment and each Loan Document to which it is a party, (vi) attaching a specimen of the signature of the person(s) authorized by the resolution referred to in (iv) above, and (vii) certifying that each copy document relating to it specified in this Section B.7 is correct, complete and in full force and effect as at the Second Amendment Effective Date.</w:t>
      </w:r>
    </w:p>
    <w:p>
      <w:pPr>
        <w:spacing w:after="0" w:line="196"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39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a solvency certificate executed by the chief financial officer (or similar officer) of the Parent substantially in the form of Exhibit G attached to the Credit Agreement (with appropriate adjustments to reflect the transactions contemplated hereby).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2" w:name="page163"/>
    <w:bookmarkEnd w:id="162"/>
    <w:p>
      <w:pPr>
        <w:jc w:val="both"/>
        <w:ind w:firstLine="656"/>
        <w:spacing w:after="0" w:line="271" w:lineRule="auto"/>
        <w:tabs>
          <w:tab w:leader="none" w:pos="123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a legal opinion of (a) Pillsbury Winthrop Shaw Pittman LLP, New York counsel to the Loan Parties, (b) Naschitz Brandes Amir, Israeli counsel to the Loan Parties and (c) White &amp; Case LLP, English counsel to the Lenders, in each case, addressed to the Administrative Agent, the Collateral Agent, each Lender and each L/C Issuer and in form and substance reasonably satisfactory to the Administrative Agent.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39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for the ratable benefit of the Lenders party hereto, an upfront fee in an amount equal to 0.05% of the aggregate outstanding Revolving Credit Commitments on the Second Amendment Effective Date (immediately after giving effect to this Second Amendment and the transactions contemplated hereby (including the Specified Commitment Terminations)).</w:t>
      </w:r>
    </w:p>
    <w:p>
      <w:pPr>
        <w:spacing w:after="0" w:line="195"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43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Second Amendment Effective Date, the Borrower shall have paid in full all accrued and unpaid (a) interest on all outstanding Revolving Credit Loans, if any, (b) Commitment Fees and (c) fees pursuant to Section 2.03(h) of the Credit Agreement, if any, in each case, accrued up to but not including the Second Amendment Effective Date and irrespective of whether such accrued amounts are otherwise then due and payable by the terms of the Credit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25" w:lineRule="exact"/>
        <w:tabs>
          <w:tab w:leader="none" w:pos="1527"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Administrative Agent shall have received, on or prior to the Second Amendment Effective Date, all documentation and other information with respect to the Loan Parties that is requested by the Administrative Agent or a Lender party hereto and is required by regulatory authorities under applicable “know your customer”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rules and regulations, including the PATRIOT Act and the Beneficial Ownership Regulation, in each case, to the extent reasonably requested in writing at least 5 Business Days prior to the Second Amendment Effective Date by the Administrative Agent or any Lender party hereto.</w:t>
      </w:r>
    </w:p>
    <w:p>
      <w:pPr>
        <w:spacing w:after="0" w:line="225" w:lineRule="exact"/>
        <w:rPr>
          <w:sz w:val="20"/>
          <w:szCs w:val="20"/>
          <w:color w:val="auto"/>
        </w:rPr>
      </w:pPr>
    </w:p>
    <w:p>
      <w:pPr>
        <w:ind w:left="980" w:hanging="324"/>
        <w:spacing w:after="0"/>
        <w:tabs>
          <w:tab w:leader="none" w:pos="9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Loan Party Representations and Warranties</w:t>
      </w:r>
      <w:r>
        <w:rPr>
          <w:rFonts w:ascii="Times New Roman" w:cs="Times New Roman" w:eastAsia="Times New Roman" w:hAnsi="Times New Roman"/>
          <w:sz w:val="18"/>
          <w:szCs w:val="18"/>
          <w:color w:val="auto"/>
        </w:rPr>
        <w:t>. By execution of this Second Amendment, each Loan Party party hereto hereby represents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on behalf of itself and its respective Subsidiaries that are Loan Parties, that as of the Second Amendment Effective Date:</w:t>
      </w:r>
    </w:p>
    <w:p>
      <w:pPr>
        <w:spacing w:after="0" w:line="158" w:lineRule="exact"/>
        <w:rPr>
          <w:sz w:val="20"/>
          <w:szCs w:val="20"/>
          <w:color w:val="auto"/>
        </w:rPr>
      </w:pPr>
    </w:p>
    <w:p>
      <w:pPr>
        <w:jc w:val="both"/>
        <w:ind w:left="1300" w:hanging="482"/>
        <w:spacing w:after="0" w:line="258"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party hereto has the corporate or other organizational power and authority to execute and deliver this Second Amendment and carry out the terms and provisions of this Second Amendment and the Credit Agreement and the other Loan Documents (in each case, as modified hereby) and has taken all necessary corporate or other organizational action to authorize the execution and delivery of this Second Amendment and performance of this Second Amendment and the Credit Agreement and the other Loan Documents (in each case, as modified hereby);</w:t>
      </w:r>
    </w:p>
    <w:p>
      <w:pPr>
        <w:spacing w:after="0" w:line="196"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party hereto has duly executed and delivered this Second Amendment and each of this Second Amendment and the Credit Agreement and the other Loan Documents (in each case, as modified hereby) constitutes the legal, valid and binding obligation of such Loan Party enforceable in accordance with its terms, subject to the Legal Reservations;</w:t>
      </w:r>
    </w:p>
    <w:p>
      <w:pPr>
        <w:spacing w:after="0" w:line="189" w:lineRule="exact"/>
        <w:rPr>
          <w:rFonts w:ascii="Times New Roman" w:cs="Times New Roman" w:eastAsia="Times New Roman" w:hAnsi="Times New Roman"/>
          <w:sz w:val="18"/>
          <w:szCs w:val="18"/>
          <w:color w:val="auto"/>
        </w:rPr>
      </w:pPr>
    </w:p>
    <w:p>
      <w:pPr>
        <w:jc w:val="both"/>
        <w:ind w:left="1300" w:hanging="482"/>
        <w:spacing w:after="0" w:line="256"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such Loan Party contained in Article V of the Credit Agreement and in the other Loan Documents (in each case, as modified hereby) are true and correct in all material respects (or, for any representation and warranty already qualified by materiality, in all respects) on and as of the Second Amendment Effective Date to the same extent as though made on and as of the Second Amendment Effective Date, except to the extent such representations and warranties expressly relate to an earlier date, in which case such representations and warranties shall have been true and correct in all material respects (or, for any representation and warranty already qualified by materiality, in all respects) on and as of such earlier date; 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3" w:name="page164"/>
    <w:bookmarkEnd w:id="163"/>
    <w:p>
      <w:pPr>
        <w:ind w:left="1300" w:hanging="482"/>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or would result from the consummation of the transactions contemplated hereby.</w:t>
      </w:r>
    </w:p>
    <w:p>
      <w:pPr>
        <w:spacing w:after="0" w:line="15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Amendment, Modification and Waiver</w:t>
      </w:r>
      <w:r>
        <w:rPr>
          <w:rFonts w:ascii="Times New Roman" w:cs="Times New Roman" w:eastAsia="Times New Roman" w:hAnsi="Times New Roman"/>
          <w:sz w:val="18"/>
          <w:szCs w:val="18"/>
          <w:color w:val="auto"/>
        </w:rPr>
        <w:t>. This Second Amendment may not be amended, modified or waived except by an instrument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in writing signed and delivered in accordance with the provisions of Section 10.01 of the Credit Agreement.</w:t>
      </w:r>
    </w:p>
    <w:p>
      <w:pPr>
        <w:spacing w:after="0" w:line="1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Second Amendment, the Credit Agreement (as modified hereby) and the other Loan Documents constitute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SECOND AMENDMENT AND THE RIGHTS AND OBLIGATIONS OF THE PARTIES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CONSTRUED AND INTERPRETED IN ACCORDANCE WITH, THE LAWS OF THE STATE OF NEW YORK.</w:t>
      </w:r>
    </w:p>
    <w:p>
      <w:pPr>
        <w:spacing w:after="0" w:line="15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Any term or provision of this Second Amendment which is invalid or unenforceable in any jurisdiction shall, as to that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ineffective to the extent of such invalidity or unenforceability without rendering invalid or unenforceable the remaining terms and provisions of this Second Amendment or affecting the validity or enforceability of any of the terms or provisions of this Second Amendment in any other jurisdiction. If any provision of this Second Amendment is so broad as to be unenforceable, the provision shall be interpreted to be only so broad as would be enforceable.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Second Amendment may be executed in one or more counterparts (and by different parties hereto in different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which shall be deemed an original, but all of which together shall constitute one and the same instrument. Delivery by fax or other electronic transmission of an executed counterpart of a signature page to this Second Amendment shall be effective as delivery of an original executed counterpart of this Second Amendment and the words “execution,” “execute”, “signed,” “signature,” and words of like import in or related to any document to be signed in connection with this Second Amendment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Administrative Agent may, in its discretion, require that any such documents and signatures executed electronically or delivered by fax or other electronic transmission be confirmed by a manually-signed original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executed electronically or delivered by fax or other electronic transmission.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4" w:name="page165"/>
    <w:bookmarkEnd w:id="164"/>
    <w:p>
      <w:pPr>
        <w:ind w:left="980" w:hanging="324"/>
        <w:spacing w:after="0"/>
        <w:tabs>
          <w:tab w:leader="none" w:pos="9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Submission to Jurisdiction. </w:t>
      </w:r>
      <w:r>
        <w:rPr>
          <w:rFonts w:ascii="Times New Roman" w:cs="Times New Roman" w:eastAsia="Times New Roman" w:hAnsi="Times New Roman"/>
          <w:sz w:val="18"/>
          <w:szCs w:val="18"/>
          <w:color w:val="auto"/>
        </w:rPr>
        <w:t>Each party hereto irrevocably and unconditionally:</w:t>
      </w:r>
    </w:p>
    <w:p>
      <w:pPr>
        <w:spacing w:after="0" w:line="229" w:lineRule="exact"/>
        <w:rPr>
          <w:sz w:val="20"/>
          <w:szCs w:val="20"/>
          <w:color w:val="auto"/>
        </w:rPr>
      </w:pPr>
    </w:p>
    <w:p>
      <w:pPr>
        <w:jc w:val="both"/>
        <w:ind w:left="980" w:hanging="324"/>
        <w:spacing w:after="0" w:line="261"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Second Amendment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sitting in the Borough of Manhattan and appellate courts from any thereof;</w:t>
      </w:r>
    </w:p>
    <w:p>
      <w:pPr>
        <w:spacing w:after="0" w:line="19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such Person at such address of which the Administrative Agent shall have been notified pursuant to Section 10.02 of the Credit Agreement;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to the maximum extent not prohibited by applicable law, any right it may have to claim or recover in any legal action or proceeding referred to in this </w:t>
      </w:r>
      <w:r>
        <w:rPr>
          <w:rFonts w:ascii="Times New Roman" w:cs="Times New Roman" w:eastAsia="Times New Roman" w:hAnsi="Times New Roman"/>
          <w:sz w:val="18"/>
          <w:szCs w:val="18"/>
          <w:u w:val="single" w:color="auto"/>
          <w:color w:val="auto"/>
        </w:rPr>
        <w:t>Section C.7.</w:t>
      </w:r>
      <w:r>
        <w:rPr>
          <w:rFonts w:ascii="Times New Roman" w:cs="Times New Roman" w:eastAsia="Times New Roman" w:hAnsi="Times New Roman"/>
          <w:sz w:val="18"/>
          <w:szCs w:val="18"/>
          <w:color w:val="auto"/>
        </w:rPr>
        <w:t xml:space="preserve"> any special, exemplary, punitive or consequential damages;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 final judgment in any action or proceeding shall be conclusive and may be enforced in other jurisdictions by suit on the judgment or in any other manner provided by applicable law.</w:t>
      </w:r>
    </w:p>
    <w:p>
      <w:pPr>
        <w:spacing w:after="0" w:line="158" w:lineRule="exact"/>
        <w:rPr>
          <w:sz w:val="20"/>
          <w:szCs w:val="20"/>
          <w:color w:val="auto"/>
        </w:rPr>
      </w:pPr>
    </w:p>
    <w:p>
      <w:pPr>
        <w:jc w:val="both"/>
        <w:ind w:firstLine="656"/>
        <w:spacing w:after="0" w:line="284" w:lineRule="auto"/>
        <w:tabs>
          <w:tab w:leader="none" w:pos="1516"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Jury Trial. </w:t>
      </w:r>
      <w:r>
        <w:rPr>
          <w:rFonts w:ascii="Times New Roman" w:cs="Times New Roman" w:eastAsia="Times New Roman" w:hAnsi="Times New Roman"/>
          <w:sz w:val="18"/>
          <w:szCs w:val="18"/>
          <w:color w:val="auto"/>
        </w:rPr>
        <w:t>EACH PARTY HERETO HEREBY IRREVOCABLY AND UNCONDITIONALLY WAIVES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TRIAL BY JURY IN ANY LEGAL ACTION OR PROCEEDING RELATING TO THIS SECOND AMENDMENT AND FOR ANY COUNTERCLAIM THEREIN.</w:t>
      </w:r>
    </w:p>
    <w:p>
      <w:pPr>
        <w:spacing w:after="0" w:line="16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435"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Reaffirmation. </w:t>
      </w:r>
      <w:r>
        <w:rPr>
          <w:rFonts w:ascii="Times New Roman" w:cs="Times New Roman" w:eastAsia="Times New Roman" w:hAnsi="Times New Roman"/>
          <w:sz w:val="18"/>
          <w:szCs w:val="18"/>
          <w:color w:val="auto"/>
        </w:rPr>
        <w:t>By executing and delivering a counterpart hereof, (i) each Loan Party hereto, on behalf of itself and its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that are Loan Parties hereby agrees that, as of the Second Amendment Effective Date and after giving effect to this Second Amendment and the transactions contemplated hereby, all Obligations of the Borrower shall be guaranteed pursuant to the Guaranty in accordance with the terms and provisions thereof and shall be secured pursuant to the Collateral Documents in accordance with the terms and provisions thereof; (ii) each Loan Party hereto, on behalf of itself and its respective Subsidiaries that are Loan Parties that, hereby (A) agrees that, notwithstanding the effectiveness of this Second Amendment, as of the Second Amendment Effective Date and after giving effect thereto, the Collateral Documents continue to be in full force and effect,</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as of the Second Amendment Effective Date and after giving effect to this Second Amendment and the transactions contemplated hereby, all of the Liens and security interests created and arising under each Collateral Document to which it is a party remain in full force and effect on a continuous basis, and the perfected status and priority of each such Lien and security interest continues in full force and effect on a continuous basis, unimpaired, uninterrupted and undischarged, as collateral security for its Obligations under the Loan Documents (as modified hereby) to which it is a party, in each case, to the extent provided in, and subject to the limitations and qualifications set forth in, such Loan Documents (as modified hereby) and (C) affirms and confirms all of its obligations and liabilities under the Credit Agreement and each other Loan Document (as modified hereby) to which it is a party, in each case after giving effect to this Second Amendment and the transactions contemplated hereby, including its guarantee of the Obligations and the pledge of and/or grant of a security interest in its assets as Collateral pursuant to the Collateral Documents to which it is a party to secure such Obligations, all as provided in the Collateral Documents, and acknowledges and agrees that, as of the Second Amendment Effective Date, such obligations, liabilities, guarantee, pledge and grant continue in full force and effect in respect of, and to secure, such Obligations under the Credit Agreement and the other Loan Documents, in each case after giving effect to this Second Amendment and the transactions contemplated hereby; and (iii) each Loan Party hereto, on behalf of itself and its respective Subsidiaries that are Loan Parties, hereby agrees that nothing in the Credit Agreement, this Second Amendment or any other Loan Document shall be deemed to require the consent of such Loan Party to any future amendment to the Credit Agreement (as modified hereby).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5" w:name="page166"/>
    <w:bookmarkEnd w:id="165"/>
    <w:p>
      <w:pPr>
        <w:jc w:val="both"/>
        <w:ind w:firstLine="656"/>
        <w:spacing w:after="0" w:line="267" w:lineRule="auto"/>
        <w:tabs>
          <w:tab w:leader="none" w:pos="1336"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Second Amendment shall constitute a Loan Document for all purposes of the Credit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 each case, as modified hereby). Except as specifically modified by this Second Amendment, (i) the Credit Agreement and the other Loan Documents shall remain in full force and effect and (ii) the execution, delivery and performance of this Second Amendment shall not constitute a waiver of any provision of, or operate as a waiver of any right, power or remedy of any Agent or Lender under, the Credit Agreement or any of the other Loan Documents.</w:t>
      </w:r>
    </w:p>
    <w:p>
      <w:pPr>
        <w:spacing w:after="0" w:line="198" w:lineRule="exact"/>
        <w:rPr>
          <w:rFonts w:ascii="Times New Roman" w:cs="Times New Roman" w:eastAsia="Times New Roman" w:hAnsi="Times New Roman"/>
          <w:sz w:val="18"/>
          <w:szCs w:val="18"/>
          <w:b w:val="1"/>
          <w:bCs w:val="1"/>
          <w:color w:val="auto"/>
        </w:rPr>
      </w:pPr>
    </w:p>
    <w:p>
      <w:pPr>
        <w:jc w:val="both"/>
        <w:ind w:firstLine="656"/>
        <w:spacing w:after="0" w:line="238" w:lineRule="auto"/>
        <w:tabs>
          <w:tab w:leader="none" w:pos="1353"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Lead Arranger and Joint Bookrunning Manager</w:t>
      </w:r>
      <w:r>
        <w:rPr>
          <w:rFonts w:ascii="Times New Roman" w:cs="Times New Roman" w:eastAsia="Times New Roman" w:hAnsi="Times New Roman"/>
          <w:sz w:val="18"/>
          <w:szCs w:val="18"/>
          <w:color w:val="auto"/>
        </w:rPr>
        <w:t>. Pursuant to that certain Engagement Letter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April 24, 2025, between Royal Bank of Canada and the Borrower, (i) RBC Capital Markets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RBCCM</w:t>
      </w:r>
      <w:r>
        <w:rPr>
          <w:rFonts w:ascii="Times New Roman" w:cs="Times New Roman" w:eastAsia="Times New Roman" w:hAnsi="Times New Roman"/>
          <w:sz w:val="18"/>
          <w:szCs w:val="18"/>
          <w:color w:val="auto"/>
        </w:rPr>
        <w:t>”) was appointed as lead arranger and bookrunning manager with respect to the transactions contemplated thereby and hereby and (ii) the Borrower may appoint additional lead arrangers and bookrunning managers with respect to the transactions contemplated thereby and hereby with the consent of RBCCM. The Borrower hereby appoints The Bank of Nova Scotia to act as a joint lead arranger and joint bookrunning manager with respect to the transactions contemplated by the Engagement Letter and hereby and RBCCM hereby agrees to such appointments (subject to the terms of the Engagement Letter).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459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right="2800" w:hanging="5572"/>
        <w:spacing w:after="0" w:line="341" w:lineRule="auto"/>
        <w:tabs>
          <w:tab w:leader="none" w:pos="129" w:val="left"/>
        </w:tabs>
        <w:numPr>
          <w:ilvl w:val="0"/>
          <w:numId w:val="1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RBC Capital Markets is a brand name for the capital markets businesses of Royal Bank of Canada and its affiliates.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6" w:name="page167"/>
    <w:bookmarkEnd w:id="166"/>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caused its duly authorized officer to execute and deliver this Second Amendment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set forth above.</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GROUP US HOLDINGS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100" w:type="dxa"/>
            <w:vAlign w:val="bottom"/>
          </w:tcPr>
          <w:p>
            <w:pPr>
              <w:spacing w:after="0"/>
              <w:rPr>
                <w:sz w:val="17"/>
                <w:szCs w:val="17"/>
                <w:color w:val="auto"/>
              </w:rPr>
            </w:pPr>
          </w:p>
        </w:tc>
      </w:tr>
      <w:tr>
        <w:trPr>
          <w:trHeight w:val="232"/>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Amy Rothstein</w:t>
            </w:r>
          </w:p>
        </w:tc>
        <w:tc>
          <w:tcPr>
            <w:tcW w:w="100" w:type="dxa"/>
            <w:vAlign w:val="bottom"/>
          </w:tcPr>
          <w:p>
            <w:pPr>
              <w:spacing w:after="0"/>
              <w:rPr>
                <w:sz w:val="20"/>
                <w:szCs w:val="20"/>
                <w:color w:val="auto"/>
              </w:rPr>
            </w:pPr>
          </w:p>
        </w:tc>
      </w:tr>
      <w:tr>
        <w:trPr>
          <w:trHeight w:val="229"/>
        </w:trPr>
        <w:tc>
          <w:tcPr>
            <w:tcW w:w="7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w:t>
            </w:r>
          </w:p>
        </w:tc>
        <w:tc>
          <w:tcPr>
            <w:tcW w:w="100" w:type="dxa"/>
            <w:vAlign w:val="bottom"/>
          </w:tcPr>
          <w:p>
            <w:pPr>
              <w:spacing w:after="0"/>
              <w:rPr>
                <w:sz w:val="19"/>
                <w:szCs w:val="19"/>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100" w:type="dxa"/>
            <w:vAlign w:val="bottom"/>
            <w:tcBorders>
              <w:bottom w:val="single" w:sz="8" w:color="auto"/>
            </w:tcBorders>
          </w:tcPr>
          <w:p>
            <w:pPr>
              <w:spacing w:after="0"/>
              <w:rPr>
                <w:sz w:val="16"/>
                <w:szCs w:val="16"/>
                <w:color w:val="auto"/>
              </w:rPr>
            </w:pPr>
          </w:p>
        </w:tc>
      </w:tr>
      <w:tr>
        <w:trPr>
          <w:trHeight w:val="232"/>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Sagi Niri</w:t>
            </w:r>
          </w:p>
        </w:tc>
        <w:tc>
          <w:tcPr>
            <w:tcW w:w="10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00" w:type="dxa"/>
            <w:vAlign w:val="bottom"/>
          </w:tcPr>
          <w:p>
            <w:pPr>
              <w:spacing w:after="0"/>
              <w:rPr>
                <w:sz w:val="20"/>
                <w:szCs w:val="20"/>
                <w:color w:val="auto"/>
              </w:rPr>
            </w:pP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HOLDINGS LTD</w:t>
      </w:r>
      <w:r>
        <w:rPr>
          <w:rFonts w:ascii="Times New Roman" w:cs="Times New Roman" w:eastAsia="Times New Roman" w:hAnsi="Times New Roman"/>
          <w:sz w:val="18"/>
          <w:szCs w:val="18"/>
          <w:color w:val="auto"/>
        </w:rPr>
        <w:t>, as Holdings</w:t>
      </w:r>
    </w:p>
    <w:p>
      <w:pPr>
        <w:spacing w:after="0" w:line="243"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60" w:type="dxa"/>
            <w:vAlign w:val="bottom"/>
          </w:tcPr>
          <w:p>
            <w:pPr>
              <w:spacing w:after="0"/>
              <w:rPr>
                <w:sz w:val="17"/>
                <w:szCs w:val="17"/>
                <w:color w:val="auto"/>
              </w:rPr>
            </w:pPr>
          </w:p>
        </w:tc>
      </w:tr>
      <w:tr>
        <w:trPr>
          <w:trHeight w:val="232"/>
        </w:trPr>
        <w:tc>
          <w:tcPr>
            <w:tcW w:w="7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Amy Rothstein</w:t>
            </w:r>
          </w:p>
        </w:tc>
        <w:tc>
          <w:tcPr>
            <w:tcW w:w="60" w:type="dxa"/>
            <w:vAlign w:val="bottom"/>
          </w:tcPr>
          <w:p>
            <w:pPr>
              <w:spacing w:after="0"/>
              <w:rPr>
                <w:sz w:val="20"/>
                <w:szCs w:val="20"/>
                <w:color w:val="auto"/>
              </w:rPr>
            </w:pPr>
          </w:p>
        </w:tc>
      </w:tr>
      <w:tr>
        <w:trPr>
          <w:trHeight w:val="229"/>
        </w:trPr>
        <w:tc>
          <w:tcPr>
            <w:tcW w:w="7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Legal Officer</w:t>
            </w:r>
          </w:p>
        </w:tc>
        <w:tc>
          <w:tcPr>
            <w:tcW w:w="60" w:type="dxa"/>
            <w:vAlign w:val="bottom"/>
          </w:tcPr>
          <w:p>
            <w:pPr>
              <w:spacing w:after="0"/>
              <w:rPr>
                <w:sz w:val="19"/>
                <w:szCs w:val="19"/>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6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32"/>
        </w:trPr>
        <w:tc>
          <w:tcPr>
            <w:tcW w:w="7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Sagi Niri</w:t>
            </w:r>
          </w:p>
        </w:tc>
        <w:tc>
          <w:tcPr>
            <w:tcW w:w="6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60" w:type="dxa"/>
            <w:vAlign w:val="bottom"/>
          </w:tcPr>
          <w:p>
            <w:pPr>
              <w:spacing w:after="0"/>
              <w:rPr>
                <w:sz w:val="20"/>
                <w:szCs w:val="20"/>
                <w:color w:val="auto"/>
              </w:rPr>
            </w:pP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INTERNATIONAL LTD.</w:t>
      </w:r>
      <w:r>
        <w:rPr>
          <w:rFonts w:ascii="Times New Roman" w:cs="Times New Roman" w:eastAsia="Times New Roman" w:hAnsi="Times New Roman"/>
          <w:sz w:val="18"/>
          <w:szCs w:val="18"/>
          <w:color w:val="auto"/>
        </w:rPr>
        <w:t>, as the Parent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2240" w:type="dxa"/>
            <w:vAlign w:val="bottom"/>
            <w:gridSpan w:val="2"/>
          </w:tcPr>
          <w:p>
            <w:pPr>
              <w:spacing w:after="0"/>
              <w:rPr>
                <w:sz w:val="17"/>
                <w:szCs w:val="17"/>
                <w:color w:val="auto"/>
              </w:rPr>
            </w:pPr>
          </w:p>
        </w:tc>
      </w:tr>
      <w:tr>
        <w:trPr>
          <w:trHeight w:val="245"/>
        </w:trPr>
        <w:tc>
          <w:tcPr>
            <w:tcW w:w="634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Amy Rothstein</w:t>
            </w:r>
          </w:p>
        </w:tc>
      </w:tr>
      <w:tr>
        <w:trPr>
          <w:trHeight w:val="216"/>
        </w:trPr>
        <w:tc>
          <w:tcPr>
            <w:tcW w:w="634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194"/>
        </w:trPr>
        <w:tc>
          <w:tcPr>
            <w:tcW w:w="6340" w:type="dxa"/>
            <w:vAlign w:val="bottom"/>
          </w:tcPr>
          <w:p>
            <w:pPr>
              <w:ind w:left="562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2140" w:type="dxa"/>
            <w:vAlign w:val="bottom"/>
          </w:tcPr>
          <w:p>
            <w:pPr>
              <w:spacing w:after="0"/>
              <w:rPr>
                <w:sz w:val="16"/>
                <w:szCs w:val="16"/>
                <w:color w:val="auto"/>
              </w:rPr>
            </w:pPr>
          </w:p>
        </w:tc>
      </w:tr>
      <w:tr>
        <w:trPr>
          <w:trHeight w:val="245"/>
        </w:trPr>
        <w:tc>
          <w:tcPr>
            <w:tcW w:w="634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Sagi Niri</w:t>
            </w:r>
          </w:p>
        </w:tc>
      </w:tr>
      <w:tr>
        <w:trPr>
          <w:trHeight w:val="234"/>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07"/>
        </w:trPr>
        <w:tc>
          <w:tcPr>
            <w:tcW w:w="6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1"/>
        </w:trPr>
        <w:tc>
          <w:tcPr>
            <w:tcW w:w="634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67" w:name="page168"/>
    <w:bookmarkEnd w:id="167"/>
    <w:p>
      <w:pPr>
        <w:ind w:left="5680"/>
        <w:spacing w:after="0"/>
        <w:rPr>
          <w:sz w:val="20"/>
          <w:szCs w:val="20"/>
          <w:color w:val="auto"/>
        </w:rPr>
      </w:pPr>
      <w:r>
        <w:rPr>
          <w:rFonts w:ascii="Times New Roman" w:cs="Times New Roman" w:eastAsia="Times New Roman" w:hAnsi="Times New Roman"/>
          <w:sz w:val="18"/>
          <w:szCs w:val="18"/>
          <w:b w:val="1"/>
          <w:bCs w:val="1"/>
          <w:color w:val="auto"/>
        </w:rPr>
        <w:t>NEXXEN GROUP LTD</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100" w:type="dxa"/>
            <w:vAlign w:val="bottom"/>
          </w:tcPr>
          <w:p>
            <w:pPr>
              <w:spacing w:after="0"/>
              <w:rPr>
                <w:sz w:val="17"/>
                <w:szCs w:val="17"/>
                <w:color w:val="auto"/>
              </w:rPr>
            </w:pPr>
          </w:p>
        </w:tc>
      </w:tr>
      <w:tr>
        <w:trPr>
          <w:trHeight w:val="245"/>
        </w:trPr>
        <w:tc>
          <w:tcPr>
            <w:tcW w:w="720" w:type="dxa"/>
            <w:vAlign w:val="bottom"/>
          </w:tcPr>
          <w:p>
            <w:pPr>
              <w:spacing w:after="0"/>
              <w:rPr>
                <w:sz w:val="21"/>
                <w:szCs w:val="21"/>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Amy Rothstein</w:t>
            </w:r>
          </w:p>
        </w:tc>
        <w:tc>
          <w:tcPr>
            <w:tcW w:w="100" w:type="dxa"/>
            <w:vAlign w:val="bottom"/>
          </w:tcPr>
          <w:p>
            <w:pPr>
              <w:spacing w:after="0"/>
              <w:rPr>
                <w:sz w:val="21"/>
                <w:szCs w:val="21"/>
                <w:color w:val="auto"/>
              </w:rPr>
            </w:pPr>
          </w:p>
        </w:tc>
      </w:tr>
      <w:tr>
        <w:trPr>
          <w:trHeight w:val="216"/>
        </w:trPr>
        <w:tc>
          <w:tcPr>
            <w:tcW w:w="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w:t>
            </w:r>
          </w:p>
        </w:tc>
        <w:tc>
          <w:tcPr>
            <w:tcW w:w="100" w:type="dxa"/>
            <w:vAlign w:val="bottom"/>
          </w:tcPr>
          <w:p>
            <w:pPr>
              <w:spacing w:after="0"/>
              <w:rPr>
                <w:sz w:val="18"/>
                <w:szCs w:val="18"/>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100" w:type="dxa"/>
            <w:vAlign w:val="bottom"/>
            <w:tcBorders>
              <w:bottom w:val="single" w:sz="8" w:color="auto"/>
            </w:tcBorders>
          </w:tcPr>
          <w:p>
            <w:pPr>
              <w:spacing w:after="0"/>
              <w:rPr>
                <w:sz w:val="16"/>
                <w:szCs w:val="16"/>
                <w:color w:val="auto"/>
              </w:rPr>
            </w:pPr>
          </w:p>
        </w:tc>
      </w:tr>
      <w:tr>
        <w:trPr>
          <w:trHeight w:val="245"/>
        </w:trPr>
        <w:tc>
          <w:tcPr>
            <w:tcW w:w="720" w:type="dxa"/>
            <w:vAlign w:val="bottom"/>
          </w:tcPr>
          <w:p>
            <w:pPr>
              <w:spacing w:after="0"/>
              <w:rPr>
                <w:sz w:val="21"/>
                <w:szCs w:val="21"/>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Sagi Niri</w:t>
            </w:r>
          </w:p>
        </w:tc>
        <w:tc>
          <w:tcPr>
            <w:tcW w:w="100" w:type="dxa"/>
            <w:vAlign w:val="bottom"/>
          </w:tcPr>
          <w:p>
            <w:pPr>
              <w:spacing w:after="0"/>
              <w:rPr>
                <w:sz w:val="21"/>
                <w:szCs w:val="21"/>
                <w:color w:val="auto"/>
              </w:rPr>
            </w:pPr>
          </w:p>
        </w:tc>
      </w:tr>
      <w:tr>
        <w:trPr>
          <w:trHeight w:val="234"/>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00" w:type="dxa"/>
            <w:vAlign w:val="bottom"/>
          </w:tcPr>
          <w:p>
            <w:pPr>
              <w:spacing w:after="0"/>
              <w:rPr>
                <w:sz w:val="20"/>
                <w:szCs w:val="20"/>
                <w:color w:val="auto"/>
              </w:rPr>
            </w:pPr>
          </w:p>
        </w:tc>
      </w:tr>
      <w:tr>
        <w:trPr>
          <w:trHeight w:val="446"/>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R1DEMAND, LLC</w:t>
            </w:r>
            <w:r>
              <w:rPr>
                <w:rFonts w:ascii="Times New Roman" w:cs="Times New Roman" w:eastAsia="Times New Roman" w:hAnsi="Times New Roman"/>
                <w:sz w:val="18"/>
                <w:szCs w:val="18"/>
                <w:color w:val="auto"/>
              </w:rPr>
              <w:t>, as a Guarantor</w:t>
            </w:r>
          </w:p>
        </w:tc>
        <w:tc>
          <w:tcPr>
            <w:tcW w:w="100" w:type="dxa"/>
            <w:vAlign w:val="bottom"/>
          </w:tcPr>
          <w:p>
            <w:pPr>
              <w:spacing w:after="0"/>
              <w:rPr>
                <w:sz w:val="24"/>
                <w:szCs w:val="24"/>
                <w:color w:val="auto"/>
              </w:rPr>
            </w:pPr>
          </w:p>
        </w:tc>
      </w:tr>
      <w:tr>
        <w:trPr>
          <w:trHeight w:val="40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100" w:type="dxa"/>
            <w:vAlign w:val="bottom"/>
          </w:tcPr>
          <w:p>
            <w:pPr>
              <w:spacing w:after="0"/>
              <w:rPr>
                <w:sz w:val="24"/>
                <w:szCs w:val="24"/>
                <w:color w:val="auto"/>
              </w:rPr>
            </w:pPr>
          </w:p>
        </w:tc>
      </w:tr>
      <w:tr>
        <w:trPr>
          <w:trHeight w:val="232"/>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Amy Rothstein</w:t>
            </w:r>
          </w:p>
        </w:tc>
        <w:tc>
          <w:tcPr>
            <w:tcW w:w="100" w:type="dxa"/>
            <w:vAlign w:val="bottom"/>
          </w:tcPr>
          <w:p>
            <w:pPr>
              <w:spacing w:after="0"/>
              <w:rPr>
                <w:sz w:val="20"/>
                <w:szCs w:val="20"/>
                <w:color w:val="auto"/>
              </w:rPr>
            </w:pPr>
          </w:p>
        </w:tc>
      </w:tr>
      <w:tr>
        <w:trPr>
          <w:trHeight w:val="229"/>
        </w:trPr>
        <w:tc>
          <w:tcPr>
            <w:tcW w:w="7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w:t>
            </w:r>
          </w:p>
        </w:tc>
        <w:tc>
          <w:tcPr>
            <w:tcW w:w="100" w:type="dxa"/>
            <w:vAlign w:val="bottom"/>
          </w:tcPr>
          <w:p>
            <w:pPr>
              <w:spacing w:after="0"/>
              <w:rPr>
                <w:sz w:val="19"/>
                <w:szCs w:val="19"/>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100" w:type="dxa"/>
            <w:vAlign w:val="bottom"/>
            <w:tcBorders>
              <w:bottom w:val="single" w:sz="8" w:color="auto"/>
            </w:tcBorders>
          </w:tcPr>
          <w:p>
            <w:pPr>
              <w:spacing w:after="0"/>
              <w:rPr>
                <w:sz w:val="16"/>
                <w:szCs w:val="16"/>
                <w:color w:val="auto"/>
              </w:rPr>
            </w:pPr>
          </w:p>
        </w:tc>
      </w:tr>
      <w:tr>
        <w:trPr>
          <w:trHeight w:val="232"/>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Sagi Niri</w:t>
            </w:r>
          </w:p>
        </w:tc>
        <w:tc>
          <w:tcPr>
            <w:tcW w:w="10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00" w:type="dxa"/>
            <w:vAlign w:val="bottom"/>
          </w:tcPr>
          <w:p>
            <w:pPr>
              <w:spacing w:after="0"/>
              <w:rPr>
                <w:sz w:val="20"/>
                <w:szCs w:val="20"/>
                <w:color w:val="auto"/>
              </w:rPr>
            </w:pP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NEXXEN GROUP LLC</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2240" w:type="dxa"/>
            <w:vAlign w:val="bottom"/>
            <w:gridSpan w:val="2"/>
          </w:tcPr>
          <w:p>
            <w:pPr>
              <w:spacing w:after="0"/>
              <w:rPr>
                <w:sz w:val="17"/>
                <w:szCs w:val="17"/>
                <w:color w:val="auto"/>
              </w:rPr>
            </w:pPr>
          </w:p>
        </w:tc>
      </w:tr>
      <w:tr>
        <w:trPr>
          <w:trHeight w:val="232"/>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Amy Rothstein</w:t>
            </w:r>
          </w:p>
        </w:tc>
      </w:tr>
      <w:tr>
        <w:trPr>
          <w:trHeight w:val="229"/>
        </w:trPr>
        <w:tc>
          <w:tcPr>
            <w:tcW w:w="63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194"/>
        </w:trPr>
        <w:tc>
          <w:tcPr>
            <w:tcW w:w="6340" w:type="dxa"/>
            <w:vAlign w:val="bottom"/>
          </w:tcPr>
          <w:p>
            <w:pPr>
              <w:ind w:left="562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2140" w:type="dxa"/>
            <w:vAlign w:val="bottom"/>
          </w:tcPr>
          <w:p>
            <w:pPr>
              <w:spacing w:after="0"/>
              <w:rPr>
                <w:sz w:val="16"/>
                <w:szCs w:val="16"/>
                <w:color w:val="auto"/>
              </w:rPr>
            </w:pPr>
          </w:p>
        </w:tc>
      </w:tr>
      <w:tr>
        <w:trPr>
          <w:trHeight w:val="232"/>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Sagi Niri</w:t>
            </w:r>
          </w:p>
        </w:tc>
      </w:tr>
      <w:tr>
        <w:trPr>
          <w:trHeight w:val="234"/>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35"/>
        </w:trPr>
        <w:tc>
          <w:tcPr>
            <w:tcW w:w="6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1"/>
        </w:trPr>
        <w:tc>
          <w:tcPr>
            <w:tcW w:w="634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168" w:name="page169"/>
    <w:bookmarkEnd w:id="168"/>
    <w:p>
      <w:pPr>
        <w:ind w:left="5620"/>
        <w:spacing w:after="0"/>
        <w:rPr>
          <w:sz w:val="20"/>
          <w:szCs w:val="20"/>
          <w:color w:val="auto"/>
        </w:rPr>
      </w:pPr>
      <w:r>
        <w:rPr>
          <w:rFonts w:ascii="Times New Roman" w:cs="Times New Roman" w:eastAsia="Times New Roman" w:hAnsi="Times New Roman"/>
          <w:sz w:val="18"/>
          <w:szCs w:val="18"/>
          <w:b w:val="1"/>
          <w:bCs w:val="1"/>
          <w:color w:val="auto"/>
        </w:rPr>
        <w:t>YUME, INC.</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2240" w:type="dxa"/>
            <w:vAlign w:val="bottom"/>
            <w:gridSpan w:val="2"/>
          </w:tcPr>
          <w:p>
            <w:pPr>
              <w:spacing w:after="0"/>
              <w:rPr>
                <w:sz w:val="17"/>
                <w:szCs w:val="17"/>
                <w:color w:val="auto"/>
              </w:rPr>
            </w:pPr>
          </w:p>
        </w:tc>
      </w:tr>
      <w:tr>
        <w:trPr>
          <w:trHeight w:val="232"/>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Amy Rothstein</w:t>
            </w:r>
          </w:p>
        </w:tc>
      </w:tr>
      <w:tr>
        <w:trPr>
          <w:trHeight w:val="229"/>
        </w:trPr>
        <w:tc>
          <w:tcPr>
            <w:tcW w:w="63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194"/>
        </w:trPr>
        <w:tc>
          <w:tcPr>
            <w:tcW w:w="6340" w:type="dxa"/>
            <w:vAlign w:val="bottom"/>
          </w:tcPr>
          <w:p>
            <w:pPr>
              <w:ind w:left="562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2140" w:type="dxa"/>
            <w:vAlign w:val="bottom"/>
          </w:tcPr>
          <w:p>
            <w:pPr>
              <w:spacing w:after="0"/>
              <w:rPr>
                <w:sz w:val="16"/>
                <w:szCs w:val="16"/>
                <w:color w:val="auto"/>
              </w:rPr>
            </w:pPr>
          </w:p>
        </w:tc>
      </w:tr>
      <w:tr>
        <w:trPr>
          <w:trHeight w:val="232"/>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Sagi Niri</w:t>
            </w:r>
          </w:p>
        </w:tc>
      </w:tr>
      <w:tr>
        <w:trPr>
          <w:trHeight w:val="234"/>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46"/>
        </w:trPr>
        <w:tc>
          <w:tcPr>
            <w:tcW w:w="11240" w:type="dxa"/>
            <w:vAlign w:val="bottom"/>
            <w:gridSpan w:val="4"/>
          </w:tcPr>
          <w:p>
            <w:pPr>
              <w:ind w:left="5620"/>
              <w:spacing w:after="0"/>
              <w:rPr>
                <w:sz w:val="20"/>
                <w:szCs w:val="20"/>
                <w:color w:val="auto"/>
              </w:rPr>
            </w:pPr>
            <w:r>
              <w:rPr>
                <w:rFonts w:ascii="Times New Roman" w:cs="Times New Roman" w:eastAsia="Times New Roman" w:hAnsi="Times New Roman"/>
                <w:sz w:val="18"/>
                <w:szCs w:val="18"/>
                <w:b w:val="1"/>
                <w:bCs w:val="1"/>
                <w:color w:val="auto"/>
              </w:rPr>
              <w:t>TAPTICA, INC.</w:t>
            </w:r>
            <w:r>
              <w:rPr>
                <w:rFonts w:ascii="Times New Roman" w:cs="Times New Roman" w:eastAsia="Times New Roman" w:hAnsi="Times New Roman"/>
                <w:sz w:val="18"/>
                <w:szCs w:val="18"/>
                <w:color w:val="auto"/>
              </w:rPr>
              <w:t>, as a Guarantor</w:t>
            </w:r>
          </w:p>
        </w:tc>
      </w:tr>
      <w:tr>
        <w:trPr>
          <w:trHeight w:val="418"/>
        </w:trPr>
        <w:tc>
          <w:tcPr>
            <w:tcW w:w="6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2240" w:type="dxa"/>
            <w:vAlign w:val="bottom"/>
            <w:gridSpan w:val="2"/>
          </w:tcPr>
          <w:p>
            <w:pPr>
              <w:spacing w:after="0"/>
              <w:rPr>
                <w:sz w:val="24"/>
                <w:szCs w:val="24"/>
                <w:color w:val="auto"/>
              </w:rPr>
            </w:pPr>
          </w:p>
        </w:tc>
      </w:tr>
      <w:tr>
        <w:trPr>
          <w:trHeight w:val="232"/>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Amy Rothstein</w:t>
            </w:r>
          </w:p>
        </w:tc>
      </w:tr>
      <w:tr>
        <w:trPr>
          <w:trHeight w:val="229"/>
        </w:trPr>
        <w:tc>
          <w:tcPr>
            <w:tcW w:w="63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194"/>
        </w:trPr>
        <w:tc>
          <w:tcPr>
            <w:tcW w:w="6340" w:type="dxa"/>
            <w:vAlign w:val="bottom"/>
          </w:tcPr>
          <w:p>
            <w:pPr>
              <w:ind w:left="562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2140" w:type="dxa"/>
            <w:vAlign w:val="bottom"/>
          </w:tcPr>
          <w:p>
            <w:pPr>
              <w:spacing w:after="0"/>
              <w:rPr>
                <w:sz w:val="16"/>
                <w:szCs w:val="16"/>
                <w:color w:val="auto"/>
              </w:rPr>
            </w:pPr>
          </w:p>
        </w:tc>
      </w:tr>
      <w:tr>
        <w:trPr>
          <w:trHeight w:val="232"/>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Sagi Niri</w:t>
            </w:r>
          </w:p>
        </w:tc>
      </w:tr>
      <w:tr>
        <w:trPr>
          <w:trHeight w:val="234"/>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446"/>
        </w:trPr>
        <w:tc>
          <w:tcPr>
            <w:tcW w:w="11240" w:type="dxa"/>
            <w:vAlign w:val="bottom"/>
            <w:gridSpan w:val="4"/>
          </w:tcPr>
          <w:p>
            <w:pPr>
              <w:ind w:left="5620"/>
              <w:spacing w:after="0"/>
              <w:rPr>
                <w:sz w:val="20"/>
                <w:szCs w:val="20"/>
                <w:color w:val="auto"/>
              </w:rPr>
            </w:pPr>
            <w:r>
              <w:rPr>
                <w:rFonts w:ascii="Times New Roman" w:cs="Times New Roman" w:eastAsia="Times New Roman" w:hAnsi="Times New Roman"/>
                <w:sz w:val="18"/>
                <w:szCs w:val="18"/>
                <w:b w:val="1"/>
                <w:bCs w:val="1"/>
                <w:color w:val="auto"/>
              </w:rPr>
              <w:t>NEXXEN, INC</w:t>
            </w:r>
            <w:r>
              <w:rPr>
                <w:rFonts w:ascii="Times New Roman" w:cs="Times New Roman" w:eastAsia="Times New Roman" w:hAnsi="Times New Roman"/>
                <w:sz w:val="18"/>
                <w:szCs w:val="18"/>
                <w:color w:val="auto"/>
              </w:rPr>
              <w:t>, as a Guarantor</w:t>
            </w:r>
          </w:p>
        </w:tc>
      </w:tr>
      <w:tr>
        <w:trPr>
          <w:trHeight w:val="405"/>
        </w:trPr>
        <w:tc>
          <w:tcPr>
            <w:tcW w:w="6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2240" w:type="dxa"/>
            <w:vAlign w:val="bottom"/>
            <w:gridSpan w:val="2"/>
          </w:tcPr>
          <w:p>
            <w:pPr>
              <w:spacing w:after="0"/>
              <w:rPr>
                <w:sz w:val="24"/>
                <w:szCs w:val="24"/>
                <w:color w:val="auto"/>
              </w:rPr>
            </w:pPr>
          </w:p>
        </w:tc>
      </w:tr>
      <w:tr>
        <w:trPr>
          <w:trHeight w:val="245"/>
        </w:trPr>
        <w:tc>
          <w:tcPr>
            <w:tcW w:w="634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Amy Rothstein</w:t>
            </w:r>
          </w:p>
        </w:tc>
      </w:tr>
      <w:tr>
        <w:trPr>
          <w:trHeight w:val="216"/>
        </w:trPr>
        <w:tc>
          <w:tcPr>
            <w:tcW w:w="634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Legal Officer</w:t>
            </w:r>
          </w:p>
        </w:tc>
      </w:tr>
      <w:tr>
        <w:trPr>
          <w:trHeight w:val="194"/>
        </w:trPr>
        <w:tc>
          <w:tcPr>
            <w:tcW w:w="6340" w:type="dxa"/>
            <w:vAlign w:val="bottom"/>
          </w:tcPr>
          <w:p>
            <w:pPr>
              <w:ind w:left="5620"/>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2140" w:type="dxa"/>
            <w:vAlign w:val="bottom"/>
          </w:tcPr>
          <w:p>
            <w:pPr>
              <w:spacing w:after="0"/>
              <w:rPr>
                <w:sz w:val="16"/>
                <w:szCs w:val="16"/>
                <w:color w:val="auto"/>
              </w:rPr>
            </w:pPr>
          </w:p>
        </w:tc>
      </w:tr>
      <w:tr>
        <w:trPr>
          <w:trHeight w:val="245"/>
        </w:trPr>
        <w:tc>
          <w:tcPr>
            <w:tcW w:w="634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Sagi Niri</w:t>
            </w:r>
          </w:p>
        </w:tc>
      </w:tr>
      <w:tr>
        <w:trPr>
          <w:trHeight w:val="234"/>
        </w:trPr>
        <w:tc>
          <w:tcPr>
            <w:tcW w:w="634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21"/>
        </w:trPr>
        <w:tc>
          <w:tcPr>
            <w:tcW w:w="63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61"/>
        </w:trPr>
        <w:tc>
          <w:tcPr>
            <w:tcW w:w="634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69" w:name="page170"/>
    <w:bookmarkEnd w:id="169"/>
    <w:p>
      <w:pPr>
        <w:ind w:left="5620"/>
        <w:spacing w:after="0"/>
        <w:rPr>
          <w:sz w:val="20"/>
          <w:szCs w:val="20"/>
          <w:color w:val="auto"/>
        </w:rPr>
      </w:pPr>
      <w:r>
        <w:rPr>
          <w:rFonts w:ascii="Times New Roman" w:cs="Times New Roman" w:eastAsia="Times New Roman" w:hAnsi="Times New Roman"/>
          <w:sz w:val="18"/>
          <w:szCs w:val="18"/>
          <w:b w:val="1"/>
          <w:bCs w:val="1"/>
          <w:color w:val="auto"/>
        </w:rPr>
        <w:t>AMOBEE INTERNATIONAL, INC.</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Rothstein</w:t>
            </w:r>
          </w:p>
        </w:tc>
        <w:tc>
          <w:tcPr>
            <w:tcW w:w="100" w:type="dxa"/>
            <w:vAlign w:val="bottom"/>
          </w:tcPr>
          <w:p>
            <w:pPr>
              <w:spacing w:after="0"/>
              <w:rPr>
                <w:sz w:val="17"/>
                <w:szCs w:val="17"/>
                <w:color w:val="auto"/>
              </w:rPr>
            </w:pPr>
          </w:p>
        </w:tc>
      </w:tr>
      <w:tr>
        <w:trPr>
          <w:trHeight w:val="232"/>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Amy Rothstein</w:t>
            </w:r>
          </w:p>
        </w:tc>
        <w:tc>
          <w:tcPr>
            <w:tcW w:w="100" w:type="dxa"/>
            <w:vAlign w:val="bottom"/>
          </w:tcPr>
          <w:p>
            <w:pPr>
              <w:spacing w:after="0"/>
              <w:rPr>
                <w:sz w:val="20"/>
                <w:szCs w:val="20"/>
                <w:color w:val="auto"/>
              </w:rPr>
            </w:pPr>
          </w:p>
        </w:tc>
      </w:tr>
      <w:tr>
        <w:trPr>
          <w:trHeight w:val="229"/>
        </w:trPr>
        <w:tc>
          <w:tcPr>
            <w:tcW w:w="7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Officer</w:t>
            </w:r>
          </w:p>
        </w:tc>
        <w:tc>
          <w:tcPr>
            <w:tcW w:w="100" w:type="dxa"/>
            <w:vAlign w:val="bottom"/>
          </w:tcPr>
          <w:p>
            <w:pPr>
              <w:spacing w:after="0"/>
              <w:rPr>
                <w:sz w:val="19"/>
                <w:szCs w:val="19"/>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26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 Sagi Niri</w:t>
            </w:r>
          </w:p>
        </w:tc>
        <w:tc>
          <w:tcPr>
            <w:tcW w:w="100" w:type="dxa"/>
            <w:vAlign w:val="bottom"/>
            <w:tcBorders>
              <w:bottom w:val="single" w:sz="8" w:color="auto"/>
            </w:tcBorders>
          </w:tcPr>
          <w:p>
            <w:pPr>
              <w:spacing w:after="0"/>
              <w:rPr>
                <w:sz w:val="16"/>
                <w:szCs w:val="16"/>
                <w:color w:val="auto"/>
              </w:rPr>
            </w:pPr>
          </w:p>
        </w:tc>
      </w:tr>
      <w:tr>
        <w:trPr>
          <w:trHeight w:val="232"/>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Name: Sagi Niri</w:t>
            </w:r>
          </w:p>
        </w:tc>
        <w:tc>
          <w:tcPr>
            <w:tcW w:w="100" w:type="dxa"/>
            <w:vAlign w:val="bottom"/>
          </w:tcPr>
          <w:p>
            <w:pPr>
              <w:spacing w:after="0"/>
              <w:rPr>
                <w:sz w:val="20"/>
                <w:szCs w:val="20"/>
                <w:color w:val="auto"/>
              </w:rPr>
            </w:pPr>
          </w:p>
        </w:tc>
      </w:tr>
      <w:tr>
        <w:trPr>
          <w:trHeight w:val="234"/>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00" w:type="dxa"/>
            <w:vAlign w:val="bottom"/>
          </w:tcPr>
          <w:p>
            <w:pPr>
              <w:spacing w:after="0"/>
              <w:rPr>
                <w:sz w:val="20"/>
                <w:szCs w:val="20"/>
                <w:color w:val="auto"/>
              </w:rPr>
            </w:pP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Administrative Agent and Collateral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w:t>
      </w:r>
    </w:p>
    <w:p>
      <w:pPr>
        <w:spacing w:after="0" w:line="221"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Anastasiya Andrushchyshyn</w:t>
            </w:r>
          </w:p>
        </w:tc>
        <w:tc>
          <w:tcPr>
            <w:tcW w:w="100" w:type="dxa"/>
            <w:vAlign w:val="bottom"/>
          </w:tcPr>
          <w:p>
            <w:pPr>
              <w:spacing w:after="0"/>
              <w:rPr>
                <w:sz w:val="17"/>
                <w:szCs w:val="17"/>
                <w:color w:val="auto"/>
              </w:rPr>
            </w:pPr>
          </w:p>
        </w:tc>
      </w:tr>
      <w:tr>
        <w:trPr>
          <w:trHeight w:val="245"/>
        </w:trPr>
        <w:tc>
          <w:tcPr>
            <w:tcW w:w="720" w:type="dxa"/>
            <w:vAlign w:val="bottom"/>
          </w:tcPr>
          <w:p>
            <w:pPr>
              <w:spacing w:after="0"/>
              <w:rPr>
                <w:sz w:val="21"/>
                <w:szCs w:val="21"/>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Name: Anastasiya Andrushchyshyn</w:t>
            </w:r>
          </w:p>
        </w:tc>
      </w:tr>
      <w:tr>
        <w:trPr>
          <w:trHeight w:val="234"/>
        </w:trPr>
        <w:tc>
          <w:tcPr>
            <w:tcW w:w="72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Manager, Agency Services</w:t>
            </w: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an L/C Issuer and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Jessica Li</w:t>
            </w:r>
          </w:p>
        </w:tc>
        <w:tc>
          <w:tcPr>
            <w:tcW w:w="2180" w:type="dxa"/>
            <w:vAlign w:val="bottom"/>
          </w:tcPr>
          <w:p>
            <w:pPr>
              <w:spacing w:after="0"/>
              <w:rPr>
                <w:sz w:val="17"/>
                <w:szCs w:val="17"/>
                <w:color w:val="auto"/>
              </w:rPr>
            </w:pPr>
          </w:p>
        </w:tc>
      </w:tr>
      <w:tr>
        <w:trPr>
          <w:trHeight w:val="245"/>
        </w:trPr>
        <w:tc>
          <w:tcPr>
            <w:tcW w:w="6080" w:type="dxa"/>
            <w:vAlign w:val="bottom"/>
          </w:tcPr>
          <w:p>
            <w:pPr>
              <w:spacing w:after="0"/>
              <w:rPr>
                <w:sz w:val="21"/>
                <w:szCs w:val="21"/>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Name: Jessica Li</w:t>
            </w:r>
          </w:p>
        </w:tc>
      </w:tr>
      <w:tr>
        <w:trPr>
          <w:trHeight w:val="234"/>
        </w:trPr>
        <w:tc>
          <w:tcPr>
            <w:tcW w:w="6080" w:type="dxa"/>
            <w:vAlign w:val="bottom"/>
          </w:tcPr>
          <w:p>
            <w:pPr>
              <w:spacing w:after="0"/>
              <w:rPr>
                <w:sz w:val="20"/>
                <w:szCs w:val="20"/>
                <w:color w:val="auto"/>
              </w:rPr>
            </w:pPr>
          </w:p>
        </w:tc>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Title: Authorized Signatory</w:t>
            </w:r>
          </w:p>
        </w:tc>
      </w:tr>
      <w:tr>
        <w:trPr>
          <w:trHeight w:val="621"/>
        </w:trPr>
        <w:tc>
          <w:tcPr>
            <w:tcW w:w="6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1"/>
        </w:trPr>
        <w:tc>
          <w:tcPr>
            <w:tcW w:w="6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70" w:name="page171"/>
    <w:bookmarkEnd w:id="170"/>
    <w:p>
      <w:pPr>
        <w:ind w:left="5620"/>
        <w:spacing w:after="0"/>
        <w:rPr>
          <w:sz w:val="20"/>
          <w:szCs w:val="20"/>
          <w:color w:val="auto"/>
        </w:rPr>
      </w:pPr>
      <w:r>
        <w:rPr>
          <w:rFonts w:ascii="Times New Roman" w:cs="Times New Roman" w:eastAsia="Times New Roman" w:hAnsi="Times New Roman"/>
          <w:sz w:val="18"/>
          <w:szCs w:val="18"/>
          <w:b w:val="1"/>
          <w:bCs w:val="1"/>
          <w:color w:val="auto"/>
        </w:rPr>
        <w:t>HSBC BANK USA,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Mackenzie Wood</w:t>
            </w:r>
          </w:p>
        </w:tc>
      </w:tr>
      <w:tr>
        <w:trPr>
          <w:trHeight w:val="232"/>
        </w:trPr>
        <w:tc>
          <w:tcPr>
            <w:tcW w:w="460" w:type="dxa"/>
            <w:vAlign w:val="bottom"/>
          </w:tcPr>
          <w:p>
            <w:pPr>
              <w:spacing w:after="0"/>
              <w:rPr>
                <w:sz w:val="20"/>
                <w:szCs w:val="20"/>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 Mackenzie Wood</w:t>
            </w:r>
          </w:p>
        </w:tc>
      </w:tr>
      <w:tr>
        <w:trPr>
          <w:trHeight w:val="234"/>
        </w:trPr>
        <w:tc>
          <w:tcPr>
            <w:tcW w:w="460" w:type="dxa"/>
            <w:vAlign w:val="bottom"/>
          </w:tcPr>
          <w:p>
            <w:pPr>
              <w:spacing w:after="0"/>
              <w:rPr>
                <w:sz w:val="20"/>
                <w:szCs w:val="20"/>
                <w:color w:val="auto"/>
              </w:rPr>
            </w:pP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Senior Vice President #23666</w:t>
            </w: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FIRST-CITIZENS BANK &amp; TRUST COMPANY </w:t>
      </w:r>
      <w:r>
        <w:rPr>
          <w:rFonts w:ascii="Times New Roman" w:cs="Times New Roman" w:eastAsia="Times New Roman" w:hAnsi="Times New Roman"/>
          <w:sz w:val="18"/>
          <w:szCs w:val="18"/>
          <w:color w:val="auto"/>
        </w:rPr>
        <w:t>(successor by purchase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the Federal Deposit Insurance Corporation as Receiver for Silicon Valley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Bridge Bank, N.A. (as successor to Silicon Valley Bank)), as an L/C Issuer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 Lender</w:t>
      </w:r>
    </w:p>
    <w:p>
      <w:pPr>
        <w:spacing w:after="0" w:line="221"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Jaime Mariano</w:t>
            </w:r>
          </w:p>
        </w:tc>
      </w:tr>
      <w:tr>
        <w:trPr>
          <w:trHeight w:val="232"/>
        </w:trPr>
        <w:tc>
          <w:tcPr>
            <w:tcW w:w="460" w:type="dxa"/>
            <w:vAlign w:val="bottom"/>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 Jaime Mariano</w:t>
            </w:r>
          </w:p>
        </w:tc>
      </w:tr>
      <w:tr>
        <w:trPr>
          <w:trHeight w:val="234"/>
        </w:trPr>
        <w:tc>
          <w:tcPr>
            <w:tcW w:w="460" w:type="dxa"/>
            <w:vAlign w:val="bottom"/>
          </w:tcPr>
          <w:p>
            <w:pPr>
              <w:spacing w:after="0"/>
              <w:rPr>
                <w:sz w:val="20"/>
                <w:szCs w:val="20"/>
                <w:color w:val="auto"/>
              </w:rPr>
            </w:pPr>
          </w:p>
        </w:tc>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BANK OF NOVA SCOTIA</w:t>
      </w:r>
      <w:r>
        <w:rPr>
          <w:rFonts w:ascii="Times New Roman" w:cs="Times New Roman" w:eastAsia="Times New Roman" w:hAnsi="Times New Roman"/>
          <w:sz w:val="18"/>
          <w:szCs w:val="18"/>
          <w:color w:val="auto"/>
        </w:rPr>
        <w:t>, as an L/C Issuer and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Yvonne Bai</w:t>
            </w:r>
          </w:p>
        </w:tc>
        <w:tc>
          <w:tcPr>
            <w:tcW w:w="2220" w:type="dxa"/>
            <w:vAlign w:val="bottom"/>
            <w:gridSpan w:val="2"/>
          </w:tcPr>
          <w:p>
            <w:pPr>
              <w:spacing w:after="0"/>
              <w:rPr>
                <w:sz w:val="17"/>
                <w:szCs w:val="17"/>
                <w:color w:val="auto"/>
              </w:rPr>
            </w:pPr>
          </w:p>
        </w:tc>
      </w:tr>
      <w:tr>
        <w:trPr>
          <w:trHeight w:val="232"/>
        </w:trPr>
        <w:tc>
          <w:tcPr>
            <w:tcW w:w="6080" w:type="dxa"/>
            <w:vAlign w:val="bottom"/>
          </w:tcPr>
          <w:p>
            <w:pPr>
              <w:spacing w:after="0"/>
              <w:rPr>
                <w:sz w:val="20"/>
                <w:szCs w:val="20"/>
                <w:color w:val="auto"/>
              </w:rPr>
            </w:pPr>
          </w:p>
        </w:tc>
        <w:tc>
          <w:tcPr>
            <w:tcW w:w="5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 Yvonne Bai</w:t>
            </w:r>
          </w:p>
        </w:tc>
      </w:tr>
      <w:tr>
        <w:trPr>
          <w:trHeight w:val="234"/>
        </w:trPr>
        <w:tc>
          <w:tcPr>
            <w:tcW w:w="6080" w:type="dxa"/>
            <w:vAlign w:val="bottom"/>
          </w:tcPr>
          <w:p>
            <w:pPr>
              <w:spacing w:after="0"/>
              <w:rPr>
                <w:sz w:val="20"/>
                <w:szCs w:val="20"/>
                <w:color w:val="auto"/>
              </w:rPr>
            </w:pPr>
          </w:p>
        </w:tc>
        <w:tc>
          <w:tcPr>
            <w:tcW w:w="51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45"/>
        </w:trPr>
        <w:tc>
          <w:tcPr>
            <w:tcW w:w="11240" w:type="dxa"/>
            <w:vAlign w:val="bottom"/>
            <w:gridSpan w:val="5"/>
          </w:tcPr>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tc>
      </w:tr>
      <w:tr>
        <w:trPr>
          <w:trHeight w:val="405"/>
        </w:trPr>
        <w:tc>
          <w:tcPr>
            <w:tcW w:w="608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Thad Garrison</w:t>
            </w:r>
          </w:p>
        </w:tc>
        <w:tc>
          <w:tcPr>
            <w:tcW w:w="2200" w:type="dxa"/>
            <w:vAlign w:val="bottom"/>
          </w:tcPr>
          <w:p>
            <w:pPr>
              <w:spacing w:after="0"/>
              <w:rPr>
                <w:sz w:val="24"/>
                <w:szCs w:val="24"/>
                <w:color w:val="auto"/>
              </w:rPr>
            </w:pPr>
          </w:p>
        </w:tc>
      </w:tr>
      <w:tr>
        <w:trPr>
          <w:trHeight w:val="232"/>
        </w:trPr>
        <w:tc>
          <w:tcPr>
            <w:tcW w:w="6080" w:type="dxa"/>
            <w:vAlign w:val="bottom"/>
          </w:tcPr>
          <w:p>
            <w:pPr>
              <w:spacing w:after="0"/>
              <w:rPr>
                <w:sz w:val="20"/>
                <w:szCs w:val="20"/>
                <w:color w:val="auto"/>
              </w:rPr>
            </w:pPr>
          </w:p>
        </w:tc>
        <w:tc>
          <w:tcPr>
            <w:tcW w:w="5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 Thad Garrison</w:t>
            </w:r>
          </w:p>
        </w:tc>
      </w:tr>
      <w:tr>
        <w:trPr>
          <w:trHeight w:val="234"/>
        </w:trPr>
        <w:tc>
          <w:tcPr>
            <w:tcW w:w="6080" w:type="dxa"/>
            <w:vAlign w:val="bottom"/>
          </w:tcPr>
          <w:p>
            <w:pPr>
              <w:spacing w:after="0"/>
              <w:rPr>
                <w:sz w:val="20"/>
                <w:szCs w:val="20"/>
                <w:color w:val="auto"/>
              </w:rPr>
            </w:pPr>
          </w:p>
        </w:tc>
        <w:tc>
          <w:tcPr>
            <w:tcW w:w="5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Title: Director/VP - Citibank</w:t>
            </w:r>
          </w:p>
        </w:tc>
      </w:tr>
      <w:tr>
        <w:trPr>
          <w:trHeight w:val="621"/>
        </w:trPr>
        <w:tc>
          <w:tcPr>
            <w:tcW w:w="6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61"/>
        </w:trPr>
        <w:tc>
          <w:tcPr>
            <w:tcW w:w="6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137160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Schedules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8.1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NEXXEN INTERNATIONAL LTD.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out details of the Company’s subsidiaries:</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7440" w:type="dxa"/>
            <w:vAlign w:val="bottom"/>
            <w:vMerge w:val="restart"/>
          </w:tcPr>
          <w:p>
            <w:pPr>
              <w:ind w:left="3060"/>
              <w:spacing w:after="0"/>
              <w:rPr>
                <w:sz w:val="20"/>
                <w:szCs w:val="20"/>
                <w:color w:val="auto"/>
              </w:rPr>
            </w:pPr>
            <w:r>
              <w:rPr>
                <w:rFonts w:ascii="Times New Roman" w:cs="Times New Roman" w:eastAsia="Times New Roman" w:hAnsi="Times New Roman"/>
                <w:sz w:val="18"/>
                <w:szCs w:val="18"/>
                <w:color w:val="auto"/>
              </w:rPr>
              <w:t>Name of company</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Country of</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0" w:type="dxa"/>
            <w:vAlign w:val="bottom"/>
          </w:tcPr>
          <w:p>
            <w:pPr>
              <w:spacing w:after="0"/>
              <w:rPr>
                <w:sz w:val="1"/>
                <w:szCs w:val="1"/>
                <w:color w:val="auto"/>
              </w:rPr>
            </w:pPr>
          </w:p>
        </w:tc>
      </w:tr>
      <w:tr>
        <w:trPr>
          <w:trHeight w:val="234"/>
        </w:trPr>
        <w:tc>
          <w:tcPr>
            <w:tcW w:w="7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34"/>
        </w:trPr>
        <w:tc>
          <w:tcPr>
            <w:tcW w:w="7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Taptica Inc.</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YuMe Inc*</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Perk.com Canada Inc</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Group LLC</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Group US Holdings Inc.*</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Holdings Ltd*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4"/>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Group Ltd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Media Pte. Ltd. (f/k/a Unruly Media Pte. Ltd)*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Pty Ltd*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Media Japan K.K. (f/k/a Unruly Media K.K.)</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Video Distribution Sdn. Bhd. (f/k/a Unmedia Video Distribution Sdn. Bhd.)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4"/>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CTRL GmbH (f/k/a SpearAd GmbH)</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Nexxen Inc.*</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8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Amobee Ltd</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4312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these companies, there are eleven (11) wholly owned subsidiaries that are inactive, liquidated or in liquidation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165735</wp:posOffset>
            </wp:positionV>
            <wp:extent cx="1979930" cy="4800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19799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43" w:lineRule="exact"/>
        <w:rPr>
          <w:sz w:val="20"/>
          <w:szCs w:val="20"/>
          <w:color w:val="auto"/>
        </w:rPr>
      </w:pPr>
    </w:p>
    <w:p>
      <w:pPr>
        <w:jc w:val="both"/>
        <w:ind w:right="100" w:firstLine="631"/>
        <w:spacing w:after="0" w:line="271" w:lineRule="auto"/>
        <w:rPr>
          <w:sz w:val="20"/>
          <w:szCs w:val="20"/>
          <w:color w:val="auto"/>
        </w:rPr>
      </w:pPr>
      <w:r>
        <w:rPr>
          <w:rFonts w:ascii="Times New Roman" w:cs="Times New Roman" w:eastAsia="Times New Roman" w:hAnsi="Times New Roman"/>
          <w:sz w:val="18"/>
          <w:szCs w:val="18"/>
          <w:color w:val="auto"/>
        </w:rPr>
        <w:t>U.S. federal securities laws prohibit trading in the securities of a company while in possession of material nonpublic information and providing material nonpublic information to others so that they can trade. Violating such laws can undermine investor trust, harm our company’s reputation, and result in your dismissal from Nexxen International Ltd. (together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even serious criminal and civil charges against you and the Company.</w:t>
      </w:r>
    </w:p>
    <w:p>
      <w:pPr>
        <w:spacing w:after="0" w:line="195" w:lineRule="exact"/>
        <w:rPr>
          <w:sz w:val="20"/>
          <w:szCs w:val="20"/>
          <w:color w:val="auto"/>
        </w:rPr>
      </w:pPr>
    </w:p>
    <w:p>
      <w:pPr>
        <w:jc w:val="both"/>
        <w:ind w:right="100" w:firstLine="631"/>
        <w:spacing w:after="0" w:line="273" w:lineRule="auto"/>
        <w:rPr>
          <w:sz w:val="20"/>
          <w:szCs w:val="20"/>
          <w:color w:val="auto"/>
        </w:rPr>
      </w:pPr>
      <w:r>
        <w:rPr>
          <w:rFonts w:ascii="Times New Roman" w:cs="Times New Roman" w:eastAsia="Times New Roman" w:hAnsi="Times New Roman"/>
          <w:sz w:val="18"/>
          <w:szCs w:val="18"/>
          <w:color w:val="auto"/>
        </w:rPr>
        <w:t>The Company’s securities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outlines your responsibilities to avoid insider trading and other offences under U.S. federal securities laws and implements certain procedures to help you avoid even the appearance of insider trading. Directors and senior managers of the Company must continue to comply with the Company’s share dealing policy with regards to their proposed dealings.</w:t>
      </w:r>
    </w:p>
    <w:p>
      <w:pPr>
        <w:spacing w:after="0" w:line="165" w:lineRule="exact"/>
        <w:rPr>
          <w:sz w:val="20"/>
          <w:szCs w:val="20"/>
          <w:color w:val="auto"/>
        </w:rPr>
      </w:pPr>
    </w:p>
    <w:p>
      <w:pPr>
        <w:ind w:left="1460" w:hanging="804"/>
        <w:spacing w:after="0"/>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Summary</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Preventing insider trading is necessary to comply with U.S. federal securities laws and to preserve the reputation and integrity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occurs when any person purchases or sells a security while in possession of material nonpublic information relating to the security.</w:t>
      </w:r>
    </w:p>
    <w:p>
      <w:pPr>
        <w:spacing w:after="0" w:line="234" w:lineRule="exact"/>
        <w:rPr>
          <w:sz w:val="20"/>
          <w:szCs w:val="20"/>
          <w:color w:val="auto"/>
        </w:rPr>
      </w:pPr>
    </w:p>
    <w:p>
      <w:pPr>
        <w:jc w:val="both"/>
        <w:ind w:right="100" w:firstLine="631"/>
        <w:spacing w:after="0" w:line="274" w:lineRule="auto"/>
        <w:rPr>
          <w:sz w:val="20"/>
          <w:szCs w:val="20"/>
          <w:color w:val="auto"/>
        </w:rPr>
      </w:pPr>
      <w:r>
        <w:rPr>
          <w:rFonts w:ascii="Times New Roman" w:cs="Times New Roman" w:eastAsia="Times New Roman" w:hAnsi="Times New Roman"/>
          <w:sz w:val="18"/>
          <w:szCs w:val="18"/>
          <w:color w:val="auto"/>
        </w:rPr>
        <w:t>Insider trading is a crime. In the U.S. context, criminal penalties for violating insider trading laws include imprisonment and fines of up to $5 million for individuals and $25 million for corporations. Insider trading is also prohibited by this Policy, and violation of this Policy may result in Company-imposed sanctions, including removal or dismissal for cause.</w:t>
      </w:r>
    </w:p>
    <w:p>
      <w:pPr>
        <w:spacing w:after="0" w:line="178" w:lineRule="exact"/>
        <w:rPr>
          <w:sz w:val="20"/>
          <w:szCs w:val="20"/>
          <w:color w:val="auto"/>
        </w:rPr>
      </w:pPr>
    </w:p>
    <w:p>
      <w:pPr>
        <w:ind w:left="1460" w:hanging="804"/>
        <w:spacing w:after="0"/>
        <w:tabs>
          <w:tab w:leader="none" w:pos="1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Applicability</w:t>
      </w:r>
    </w:p>
    <w:p>
      <w:pPr>
        <w:spacing w:after="0" w:line="243" w:lineRule="exact"/>
        <w:rPr>
          <w:sz w:val="20"/>
          <w:szCs w:val="20"/>
          <w:color w:val="auto"/>
        </w:rPr>
      </w:pPr>
    </w:p>
    <w:p>
      <w:pPr>
        <w:jc w:val="both"/>
        <w:ind w:right="100" w:firstLine="631"/>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 all officers, directors, and employees of the Company, Family Members (as defined below) and Controlled Entities (as defined below). The Company may determine that this Policy applies to additional persons with access to material nonpublic information, such as contractors or consultants. For the purposes of this Policy,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are relatives and any other person living in the same household, and any other person who does not live in your household but whose transactions are directed by you or are subject to your influence or control. “</w:t>
      </w:r>
      <w:r>
        <w:rPr>
          <w:rFonts w:ascii="Times New Roman" w:cs="Times New Roman" w:eastAsia="Times New Roman" w:hAnsi="Times New Roman"/>
          <w:sz w:val="18"/>
          <w:szCs w:val="18"/>
          <w:b w:val="1"/>
          <w:bCs w:val="1"/>
          <w:i w:val="1"/>
          <w:iCs w:val="1"/>
          <w:color w:val="auto"/>
        </w:rPr>
        <w:t>Controlled Entities</w:t>
      </w:r>
      <w:r>
        <w:rPr>
          <w:rFonts w:ascii="Times New Roman" w:cs="Times New Roman" w:eastAsia="Times New Roman" w:hAnsi="Times New Roman"/>
          <w:sz w:val="18"/>
          <w:szCs w:val="18"/>
          <w:color w:val="auto"/>
        </w:rPr>
        <w:t>” includes any entities that any such individuals influence or control, including but not limited to, a trust, partnership or corporation, and transactions by such entities should be treated for the purposes of this Policy and applicable securities laws as if they were for your own account.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5" w:name="page176"/>
    <w:bookmarkEnd w:id="175"/>
    <w:p>
      <w:pPr>
        <w:jc w:val="both"/>
        <w:ind w:right="100" w:firstLine="631"/>
        <w:spacing w:after="0" w:line="274" w:lineRule="auto"/>
        <w:rPr>
          <w:sz w:val="20"/>
          <w:szCs w:val="20"/>
          <w:color w:val="auto"/>
        </w:rPr>
      </w:pPr>
      <w:r>
        <w:rPr>
          <w:rFonts w:ascii="Times New Roman" w:cs="Times New Roman" w:eastAsia="Times New Roman" w:hAnsi="Times New Roman"/>
          <w:sz w:val="18"/>
          <w:szCs w:val="18"/>
          <w:color w:val="auto"/>
        </w:rPr>
        <w:t>References in this Policy to “you” (as well as general references to directors, officers, and employees of the Company) should also be understood to include any Family Members and Controlled Entities. As someone subject to this Policy, you are responsible for ensuring that your Family Members and Controlled Entities comply with this Policy.</w:t>
      </w:r>
    </w:p>
    <w:p>
      <w:pPr>
        <w:spacing w:after="0" w:line="182" w:lineRule="exact"/>
        <w:rPr>
          <w:sz w:val="20"/>
          <w:szCs w:val="20"/>
          <w:color w:val="auto"/>
        </w:rPr>
      </w:pPr>
    </w:p>
    <w:p>
      <w:pPr>
        <w:jc w:val="both"/>
        <w:ind w:right="120" w:firstLine="631"/>
        <w:spacing w:after="0" w:line="297" w:lineRule="auto"/>
        <w:rPr>
          <w:sz w:val="20"/>
          <w:szCs w:val="20"/>
          <w:color w:val="auto"/>
        </w:rPr>
      </w:pPr>
      <w:r>
        <w:rPr>
          <w:rFonts w:ascii="Times New Roman" w:cs="Times New Roman" w:eastAsia="Times New Roman" w:hAnsi="Times New Roman"/>
          <w:sz w:val="18"/>
          <w:szCs w:val="18"/>
          <w:color w:val="auto"/>
        </w:rPr>
        <w:t>This Policy applies to all trading or other transactions in the Company’s securities, whether or not issued by the Company. This Policy extends to all activities within and outside your Company duties. Every officer, director, and employee must review this Policy.</w:t>
      </w:r>
    </w:p>
    <w:p>
      <w:pPr>
        <w:spacing w:after="0" w:line="159" w:lineRule="exact"/>
        <w:rPr>
          <w:sz w:val="20"/>
          <w:szCs w:val="20"/>
          <w:color w:val="auto"/>
        </w:rPr>
      </w:pPr>
    </w:p>
    <w:p>
      <w:pPr>
        <w:jc w:val="both"/>
        <w:ind w:right="100" w:firstLine="631"/>
        <w:spacing w:after="0" w:line="284" w:lineRule="auto"/>
        <w:rPr>
          <w:sz w:val="20"/>
          <w:szCs w:val="20"/>
          <w:color w:val="auto"/>
        </w:rPr>
      </w:pPr>
      <w:r>
        <w:rPr>
          <w:rFonts w:ascii="Times New Roman" w:cs="Times New Roman" w:eastAsia="Times New Roman" w:hAnsi="Times New Roman"/>
          <w:sz w:val="18"/>
          <w:szCs w:val="18"/>
          <w:color w:val="auto"/>
        </w:rPr>
        <w:t>Questions regarding the Policy should be directed to the Company’s Compliance Officer. For purposes of this Policy,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shall be the Company’s Chief Legal Officer or, if unavailable or conflicted, the Chief Financial Officer or such other person as the Board of Directors may designate from time to time.</w:t>
      </w:r>
    </w:p>
    <w:p>
      <w:pPr>
        <w:spacing w:after="0" w:line="174" w:lineRule="exact"/>
        <w:rPr>
          <w:sz w:val="20"/>
          <w:szCs w:val="20"/>
          <w:color w:val="auto"/>
        </w:rPr>
      </w:pPr>
    </w:p>
    <w:p>
      <w:pPr>
        <w:jc w:val="both"/>
        <w:ind w:right="100" w:firstLine="631"/>
        <w:spacing w:after="0" w:line="297" w:lineRule="auto"/>
        <w:rPr>
          <w:sz w:val="20"/>
          <w:szCs w:val="20"/>
          <w:color w:val="auto"/>
        </w:rPr>
      </w:pPr>
      <w:r>
        <w:rPr>
          <w:rFonts w:ascii="Times New Roman" w:cs="Times New Roman" w:eastAsia="Times New Roman" w:hAnsi="Times New Roman"/>
          <w:sz w:val="18"/>
          <w:szCs w:val="18"/>
          <w:color w:val="auto"/>
        </w:rPr>
        <w:t>Actions taken by the Company, the Compliance Officer, or any other Company personnel do not constitute legal advice, nor do they insulate you from the consequences of noncompliance with this Policy.</w:t>
      </w:r>
    </w:p>
    <w:p>
      <w:pPr>
        <w:spacing w:after="0" w:line="159" w:lineRule="exact"/>
        <w:rPr>
          <w:sz w:val="20"/>
          <w:szCs w:val="20"/>
          <w:color w:val="auto"/>
        </w:rPr>
      </w:pPr>
    </w:p>
    <w:p>
      <w:pPr>
        <w:ind w:left="1460" w:hanging="804"/>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Statement of Policies Prohibiting Insider Trading</w:t>
      </w:r>
    </w:p>
    <w:p>
      <w:pPr>
        <w:spacing w:after="0" w:line="243" w:lineRule="exact"/>
        <w:rPr>
          <w:sz w:val="20"/>
          <w:szCs w:val="20"/>
          <w:color w:val="auto"/>
        </w:rPr>
      </w:pPr>
    </w:p>
    <w:p>
      <w:pPr>
        <w:jc w:val="both"/>
        <w:ind w:right="100" w:firstLine="631"/>
        <w:spacing w:after="0" w:line="274" w:lineRule="auto"/>
        <w:rPr>
          <w:sz w:val="20"/>
          <w:szCs w:val="20"/>
          <w:color w:val="auto"/>
        </w:rPr>
      </w:pPr>
      <w:r>
        <w:rPr>
          <w:rFonts w:ascii="Times New Roman" w:cs="Times New Roman" w:eastAsia="Times New Roman" w:hAnsi="Times New Roman"/>
          <w:sz w:val="18"/>
          <w:szCs w:val="18"/>
          <w:color w:val="auto"/>
        </w:rPr>
        <w:t>It is the Company’s policy that no officer, director, or employee (or any other person or entity designated as subject to this Policy) may purchase or sell any type of security while in possession of material nonpublic information relating to the security or the issuer of such security, whether the issuer of such security is the Company or any other company.</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239" w:lineRule="exact"/>
        <w:rPr>
          <w:sz w:val="20"/>
          <w:szCs w:val="20"/>
          <w:color w:val="auto"/>
        </w:rPr>
      </w:pPr>
    </w:p>
    <w:p>
      <w:pPr>
        <w:ind w:left="1860" w:hanging="408"/>
        <w:spacing w:after="0"/>
        <w:tabs>
          <w:tab w:leader="none" w:pos="18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from the Company or sales of the Company’s securities to the Company;</w:t>
      </w:r>
    </w:p>
    <w:p>
      <w:pPr>
        <w:spacing w:after="0" w:line="238" w:lineRule="exact"/>
        <w:rPr>
          <w:rFonts w:ascii="Times New Roman" w:cs="Times New Roman" w:eastAsia="Times New Roman" w:hAnsi="Times New Roman"/>
          <w:sz w:val="18"/>
          <w:szCs w:val="18"/>
          <w:color w:val="auto"/>
        </w:rPr>
      </w:pPr>
    </w:p>
    <w:p>
      <w:pPr>
        <w:jc w:val="both"/>
        <w:ind w:left="1860" w:hanging="408"/>
        <w:spacing w:after="0" w:line="258" w:lineRule="auto"/>
        <w:tabs>
          <w:tab w:leader="none" w:pos="18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xml:space="preserve">” of a Company stock option through a broker </w:t>
      </w:r>
      <w:r>
        <w:rPr>
          <w:rFonts w:ascii="Times New Roman" w:cs="Times New Roman" w:eastAsia="Times New Roman" w:hAnsi="Times New Roman"/>
          <w:sz w:val="18"/>
          <w:szCs w:val="18"/>
          <w:i w:val="1"/>
          <w:iCs w:val="1"/>
          <w:color w:val="auto"/>
        </w:rPr>
        <w:t>does</w:t>
      </w:r>
      <w:r>
        <w:rPr>
          <w:rFonts w:ascii="Times New Roman" w:cs="Times New Roman" w:eastAsia="Times New Roman" w:hAnsi="Times New Roman"/>
          <w:sz w:val="18"/>
          <w:szCs w:val="18"/>
          <w:color w:val="auto"/>
        </w:rPr>
        <w:t xml:space="preserve"> involve a market sale of the Company’s securities, and therefore would not qualify under this exception);</w:t>
      </w:r>
    </w:p>
    <w:p>
      <w:pPr>
        <w:spacing w:after="0" w:line="194" w:lineRule="exact"/>
        <w:rPr>
          <w:rFonts w:ascii="Times New Roman" w:cs="Times New Roman" w:eastAsia="Times New Roman" w:hAnsi="Times New Roman"/>
          <w:sz w:val="18"/>
          <w:szCs w:val="18"/>
          <w:color w:val="auto"/>
        </w:rPr>
      </w:pPr>
    </w:p>
    <w:p>
      <w:pPr>
        <w:jc w:val="both"/>
        <w:ind w:left="1860" w:hanging="408"/>
        <w:spacing w:after="0" w:line="267" w:lineRule="auto"/>
        <w:tabs>
          <w:tab w:leader="none" w:pos="18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provided, that such gifts are pre-cleared in advance pursuant to this Policy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giving the gift does not know or have reason to believe that the recipient intends to sell the securities while the donor is in possession of material nonpublic information about the Company; or</w:t>
      </w:r>
    </w:p>
    <w:p>
      <w:pPr>
        <w:spacing w:after="0" w:line="175" w:lineRule="exact"/>
        <w:rPr>
          <w:rFonts w:ascii="Times New Roman" w:cs="Times New Roman" w:eastAsia="Times New Roman" w:hAnsi="Times New Roman"/>
          <w:sz w:val="18"/>
          <w:szCs w:val="18"/>
          <w:color w:val="auto"/>
        </w:rPr>
      </w:pPr>
    </w:p>
    <w:p>
      <w:pPr>
        <w:jc w:val="both"/>
        <w:ind w:left="1860" w:hanging="408"/>
        <w:spacing w:after="0" w:line="255" w:lineRule="auto"/>
        <w:tabs>
          <w:tab w:leader="none" w:pos="18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promulgated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w:t>
      </w:r>
      <w:r>
        <w:rPr>
          <w:rFonts w:ascii="Times New Roman" w:cs="Times New Roman" w:eastAsia="Times New Roman" w:hAnsi="Times New Roman"/>
          <w:sz w:val="18"/>
          <w:szCs w:val="18"/>
          <w:u w:val="single" w:color="auto"/>
          <w:color w:val="auto"/>
        </w:rPr>
        <w:t>Section VII</w:t>
      </w:r>
      <w:r>
        <w:rPr>
          <w:rFonts w:ascii="Times New Roman" w:cs="Times New Roman" w:eastAsia="Times New Roman" w:hAnsi="Times New Roman"/>
          <w:sz w:val="18"/>
          <w:szCs w:val="18"/>
          <w:color w:val="auto"/>
        </w:rPr>
        <w:t xml:space="preserv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6" w:name="page177"/>
    <w:bookmarkEnd w:id="176"/>
    <w:p>
      <w:pPr>
        <w:jc w:val="both"/>
        <w:ind w:right="20" w:firstLine="631"/>
        <w:spacing w:after="0" w:line="266" w:lineRule="auto"/>
        <w:rPr>
          <w:sz w:val="20"/>
          <w:szCs w:val="20"/>
          <w:color w:val="auto"/>
        </w:rPr>
      </w:pPr>
      <w:r>
        <w:rPr>
          <w:rFonts w:ascii="Times New Roman" w:cs="Times New Roman" w:eastAsia="Times New Roman" w:hAnsi="Times New Roman"/>
          <w:sz w:val="18"/>
          <w:szCs w:val="18"/>
          <w:color w:val="auto"/>
        </w:rPr>
        <w:t>From time to time, events will occur that are material to the Company and cause certain officers, directors, or employees to be in possession of material nonpublic information. When that happens, the Company will recommend that those in possession of the material nonpublic information suspend all trading in the Company’s securities until the information is no longer material or has been publicly disclosed. When such event-specific blackout periods occur, those subject to it will be notified by the Company. The event-specific blackout period will not be announced to those not subject to it, and those subject to it or otherwise aware of it should not disclose it to others.</w:t>
      </w:r>
    </w:p>
    <w:p>
      <w:pPr>
        <w:spacing w:after="0" w:line="203"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Even if the Company has not notified you that you are subject to an event-specific blackout period, if you are aware of material nonpublic information about the Company, you should not trade in Company securities. Any failure by the Company to designate you as subject to an event-specific blackout period, or to notify you of such designation, does not relieve you of your obligation not to trade in the Company’s securities while possessing material nonpublic information.</w:t>
      </w:r>
    </w:p>
    <w:p>
      <w:pPr>
        <w:spacing w:after="0" w:line="182"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8"/>
          <w:szCs w:val="18"/>
          <w:color w:val="auto"/>
        </w:rPr>
        <w:t>No officer, director, or employee shall directly or indirectly communicate (or “</w:t>
      </w:r>
      <w:r>
        <w:rPr>
          <w:rFonts w:ascii="Times New Roman" w:cs="Times New Roman" w:eastAsia="Times New Roman" w:hAnsi="Times New Roman"/>
          <w:sz w:val="18"/>
          <w:szCs w:val="18"/>
          <w:b w:val="1"/>
          <w:bCs w:val="1"/>
          <w:i w:val="1"/>
          <w:iCs w:val="1"/>
          <w:color w:val="auto"/>
        </w:rPr>
        <w:t>tip</w:t>
      </w:r>
      <w:r>
        <w:rPr>
          <w:rFonts w:ascii="Times New Roman" w:cs="Times New Roman" w:eastAsia="Times New Roman" w:hAnsi="Times New Roman"/>
          <w:sz w:val="18"/>
          <w:szCs w:val="18"/>
          <w:color w:val="auto"/>
        </w:rPr>
        <w:t>”) material nonpublic information to anyone outside the Company (except where permitted by law). In addition, no one who, in the course of rendering services to the Company, learns of material nonpublic information about another company (including the Company’s customers, suppliers or partners), may (a) trade in that company’s securities; (b) disclose material nonpublic information about such other company to anyone; (c) trade in the securities of an entity other than such other company based upon material nonpublic information about such other company or about our Company; or (d) give anyone trading advice about such other public company, until such information becomes public or is no longer material.</w:t>
      </w:r>
    </w:p>
    <w:p>
      <w:pPr>
        <w:spacing w:after="0" w:line="188"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color w:val="auto"/>
        </w:rPr>
        <w:t>Additionally, in some instances, you may be invested in, or may consider investing in, mutual, exchange-traded or other funds that are also invested in the Company’s securities. You should not trade in these funds while in possession of material nonpublic information about the Company if such information would also constitute material nonpublic information about the fund. These decisions will require a facts and circumstances analysis, and the Company reminds you that it is your responsibility to avoid any transaction that could be viewed as improper. If you are uncertain whether a transaction in such a fund could be viewed as trading on material nonpublic information, you must consult the Compliance Officer in advance.</w:t>
      </w:r>
    </w:p>
    <w:p>
      <w:pPr>
        <w:spacing w:after="0" w:line="18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Explanation of Insider Trading</w:t>
      </w:r>
    </w:p>
    <w:p>
      <w:pPr>
        <w:spacing w:after="0" w:line="239" w:lineRule="exact"/>
        <w:rPr>
          <w:sz w:val="20"/>
          <w:szCs w:val="20"/>
          <w:color w:val="auto"/>
        </w:rPr>
      </w:pPr>
    </w:p>
    <w:p>
      <w:pPr>
        <w:jc w:val="both"/>
        <w:ind w:right="20" w:firstLine="631"/>
        <w:spacing w:after="0" w:line="30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refers to the purchase or sale of a security while in possession of material nonpublic information relating to the security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pacing w:after="0" w:line="154" w:lineRule="exact"/>
        <w:rPr>
          <w:sz w:val="20"/>
          <w:szCs w:val="20"/>
          <w:color w:val="auto"/>
        </w:rPr>
      </w:pPr>
    </w:p>
    <w:p>
      <w:pPr>
        <w:jc w:val="both"/>
        <w:ind w:firstLine="631"/>
        <w:spacing w:after="0" w:line="30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stocks, publicly traded or quoted shares, bonds, notes, debentures, options, warrants, and other convertible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derivative or financial instruments.</w:t>
      </w:r>
    </w:p>
    <w:p>
      <w:pPr>
        <w:spacing w:after="0" w:line="154"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the federal securities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not only the actual purchase of a security,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contract to purchase or otherwise acquire a security.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177" w:name="page178"/>
    <w:bookmarkEnd w:id="177"/>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Facts Are Material or Amount to Material Information?</w:t>
      </w:r>
    </w:p>
    <w:p>
      <w:pPr>
        <w:spacing w:after="0" w:line="225"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if there is a substantial likelihood that a reasonable investor would consider it important in making a decision to buy, sell, or hold a security, or any securities of any other company as to which the person receives information not available to investors generally. Material information can be positive or negative and can relate to virtually any aspect of a company’s business or to any type of security, debt, or equity. Also, information that something is likely to happen in the future—or even just that it may happen—could be deemed material information.</w:t>
      </w:r>
    </w:p>
    <w:p>
      <w:pPr>
        <w:spacing w:after="0" w:line="185"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about corporate earnings and financial and operating results or earnings forecasts; possible mergers, acquisitions, tender offers, or dispositions; changes in dividend policies or the declaration of a share split or reverse share split or share repurchase plan; major new products or product developments; important business developments such as major contract awards or cancellations, developments regarding strategic collaborators, or the status of regulatory submissions; management or control changes; significant borrowing or financing developments, including pending public sales or offerings of debt or equity securities; changes in management; defaults on borrowings; impending bankruptcy, restructuring or financial liquidity problems; cybersecurity or data security incidents or risks; and significant litigation or regulatory actions. Moreover, material information does not have to be related to a company’s business. For example, the contents of a forthcoming newspaper column that is expected to affect the market price of a security can be material information.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Questions regarding material information should be directed to the Compliance Officer. </w:t>
      </w:r>
      <w:r>
        <w:rPr>
          <w:rFonts w:ascii="Times New Roman" w:cs="Times New Roman" w:eastAsia="Times New Roman" w:hAnsi="Times New Roman"/>
          <w:sz w:val="18"/>
          <w:szCs w:val="18"/>
          <w:b w:val="1"/>
          <w:bCs w:val="1"/>
          <w:color w:val="auto"/>
        </w:rPr>
        <w:t>A good rule of thumb: When in doubt, do not trade.</w:t>
      </w:r>
    </w:p>
    <w:p>
      <w:pPr>
        <w:spacing w:after="0" w:line="239"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is Nonpublic Information?</w:t>
      </w:r>
    </w:p>
    <w:p>
      <w:pPr>
        <w:spacing w:after="0" w:line="239" w:lineRule="exact"/>
        <w:rPr>
          <w:sz w:val="20"/>
          <w:szCs w:val="20"/>
          <w:color w:val="auto"/>
        </w:rPr>
      </w:pPr>
    </w:p>
    <w:p>
      <w:pPr>
        <w:jc w:val="both"/>
        <w:ind w:firstLine="631"/>
        <w:spacing w:after="0" w:line="267"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if it is not available to the public. In order for information to be considered public, it must be widely disseminated in a manner making it generally available to investors, through a Regulatory Information Service, newswire services such as Dow Jones, Reuters, Bloomberg, Business Wire, The Wall Street Journal, Associated Press, or United Press International; broadcasts on widely available radio or television programs; publication in a widely available newspaper, magazine, or news website; a Regulation FD-compliant conference call; or public disclosure documents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that are available on the SEC’s website. Note that speeches, television or radio appearances, magazine articles and website postings may not be sufficient disclosure to make the information public.</w:t>
      </w:r>
    </w:p>
    <w:p>
      <w:pPr>
        <w:spacing w:after="0" w:line="202" w:lineRule="exact"/>
        <w:rPr>
          <w:sz w:val="20"/>
          <w:szCs w:val="20"/>
          <w:color w:val="auto"/>
        </w:rPr>
      </w:pPr>
    </w:p>
    <w:p>
      <w:pPr>
        <w:jc w:val="both"/>
        <w:ind w:firstLine="689"/>
        <w:spacing w:after="0" w:line="271" w:lineRule="auto"/>
        <w:rPr>
          <w:sz w:val="20"/>
          <w:szCs w:val="20"/>
          <w:color w:val="auto"/>
        </w:rPr>
      </w:pPr>
      <w:r>
        <w:rPr>
          <w:rFonts w:ascii="Times New Roman" w:cs="Times New Roman" w:eastAsia="Times New Roman" w:hAnsi="Times New Roman"/>
          <w:sz w:val="18"/>
          <w:szCs w:val="18"/>
          <w:color w:val="auto"/>
        </w:rPr>
        <w:t>In addition, even after a public announcement, a reasonable period of time must lapse in order for the market to react to the information. The SEC has stated that that what constitutes a reasonable time depends on the circumstances of the dissemination. Generally, as a rule of thumb, one should allow at least two full trading days following publication as a reasonable waiting period before such information is deemed to be public. For purposes of this Policy, a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is a day on which U.S. national stock exchanges are open for trading.</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178" w:name="page179"/>
    <w:bookmarkEnd w:id="178"/>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Who is an Insider?</w:t>
      </w:r>
    </w:p>
    <w:p>
      <w:pPr>
        <w:spacing w:after="0" w:line="225"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include officers, directors, and any employees of a company, or anyone else who has material nonpublic or inside information about a company. Insiders have independent fiduciary duties to their company and its shareholders not to trade on material nonpublic information relating to the Company’s securities. Insiders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spacing w:after="0" w:line="181"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Trading by Persons Other Than Insiders</w:t>
      </w:r>
    </w:p>
    <w:p>
      <w:pPr>
        <w:spacing w:after="0" w:line="239"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can also be liable for insider trading, including Tippees who trade on material nonpublic information tipped to them or individuals who trade on material nonpublic information that has been misappropriated. Insiders may be held liable for tipping even if they receive no personal benefit from tipping and even if no close personal relationship exists between them and the Tippee.</w:t>
      </w:r>
    </w:p>
    <w:p>
      <w:pPr>
        <w:spacing w:after="0" w:line="183"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2"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Penalties for Engaging in Insider Trading</w:t>
      </w:r>
    </w:p>
    <w:p>
      <w:pPr>
        <w:spacing w:after="0" w:line="243" w:lineRule="exact"/>
        <w:rPr>
          <w:sz w:val="20"/>
          <w:szCs w:val="20"/>
          <w:color w:val="auto"/>
        </w:rPr>
      </w:pPr>
    </w:p>
    <w:p>
      <w:pPr>
        <w:jc w:val="both"/>
        <w:ind w:firstLine="631"/>
        <w:spacing w:after="0" w:line="274"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96" w:lineRule="exact"/>
        <w:rPr>
          <w:sz w:val="20"/>
          <w:szCs w:val="20"/>
          <w:color w:val="auto"/>
        </w:rPr>
      </w:pPr>
    </w:p>
    <w:p>
      <w:pPr>
        <w:ind w:left="1460" w:hanging="80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238"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38"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179" w:name="page180"/>
    <w:bookmarkEnd w:id="179"/>
    <w:p>
      <w:pPr>
        <w:ind w:left="1460" w:hanging="804"/>
        <w:spacing w:after="0"/>
        <w:tabs>
          <w:tab w:leader="none" w:pos="1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23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$1 million (subject to adjustment for inflation) or three times the amount of profit gained or loss avoided by the violator;</w:t>
      </w:r>
    </w:p>
    <w:p>
      <w:pPr>
        <w:spacing w:after="0" w:line="189"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$5 million ($25 million for an entity); and</w:t>
      </w:r>
    </w:p>
    <w:p>
      <w:pPr>
        <w:spacing w:after="0" w:line="22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 (30 years in certain circumstances).</w:t>
      </w:r>
    </w:p>
    <w:p>
      <w:pPr>
        <w:spacing w:after="0" w:line="239" w:lineRule="exact"/>
        <w:rPr>
          <w:sz w:val="20"/>
          <w:szCs w:val="20"/>
          <w:color w:val="auto"/>
        </w:rPr>
      </w:pPr>
    </w:p>
    <w:p>
      <w:pPr>
        <w:jc w:val="both"/>
        <w:ind w:right="80" w:firstLine="631"/>
        <w:spacing w:after="0" w:line="274"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may also be violated in connection with insider trading.</w:t>
      </w:r>
    </w:p>
    <w:p>
      <w:pPr>
        <w:spacing w:after="0" w:line="192"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Size of Transaction and Reason for Transaction Do Not Matter</w:t>
      </w:r>
    </w:p>
    <w:p>
      <w:pPr>
        <w:spacing w:after="0" w:line="229" w:lineRule="exact"/>
        <w:rPr>
          <w:sz w:val="20"/>
          <w:szCs w:val="20"/>
          <w:color w:val="auto"/>
        </w:rPr>
      </w:pPr>
    </w:p>
    <w:p>
      <w:pPr>
        <w:jc w:val="both"/>
        <w:ind w:right="80" w:firstLine="631"/>
        <w:spacing w:after="0" w:line="281"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performs routine market surveillance. Brokers or dealers are required by law to inform the SEC of any possible violations by people who may have material nonpublic information. The SEC aggressively investigates even small insider trading violations.</w:t>
      </w:r>
    </w:p>
    <w:p>
      <w:pPr>
        <w:spacing w:after="0" w:line="173"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20/20 Hindsight</w:t>
      </w:r>
    </w:p>
    <w:p>
      <w:pPr>
        <w:spacing w:after="0" w:line="243" w:lineRule="exact"/>
        <w:rPr>
          <w:sz w:val="20"/>
          <w:szCs w:val="20"/>
          <w:color w:val="auto"/>
        </w:rPr>
      </w:pPr>
    </w:p>
    <w:p>
      <w:pPr>
        <w:ind w:right="80" w:firstLine="631"/>
        <w:spacing w:after="0" w:line="282" w:lineRule="auto"/>
        <w:rPr>
          <w:sz w:val="20"/>
          <w:szCs w:val="20"/>
          <w:color w:val="auto"/>
        </w:rPr>
      </w:pPr>
      <w:r>
        <w:rPr>
          <w:rFonts w:ascii="Times New Roman" w:cs="Times New Roman" w:eastAsia="Times New Roman" w:hAnsi="Times New Roman"/>
          <w:sz w:val="18"/>
          <w:szCs w:val="18"/>
          <w:color w:val="auto"/>
        </w:rPr>
        <w:t>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spacing w:after="0" w:line="171"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Transactions of U.S. Residents.</w:t>
      </w:r>
    </w:p>
    <w:p>
      <w:pPr>
        <w:spacing w:after="0" w:line="24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restrictions apply regardless of whether you are a resident within the United States.</w:t>
      </w:r>
    </w:p>
    <w:p>
      <w:pPr>
        <w:spacing w:after="0" w:line="235" w:lineRule="exact"/>
        <w:rPr>
          <w:sz w:val="20"/>
          <w:szCs w:val="20"/>
          <w:color w:val="auto"/>
        </w:rPr>
      </w:pPr>
    </w:p>
    <w:p>
      <w:pPr>
        <w:ind w:left="1460" w:hanging="804"/>
        <w:spacing w:after="0"/>
        <w:tabs>
          <w:tab w:leader="none" w:pos="14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Statement of Procedures to Prevent Insider Trading</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80" w:name="page181"/>
    <w:bookmarkEnd w:id="180"/>
    <w:p>
      <w:pPr>
        <w:ind w:left="1080" w:hanging="441"/>
        <w:spacing w:after="0"/>
        <w:tabs>
          <w:tab w:leader="none" w:pos="108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43"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 xml:space="preserve">The period during which the Company prepares quarterly financials is a sensitive time for insider trading purposes, as Company personnel may be more likely to possess, or be presumed to possess, material nonpublic information. To avoid the appearance of impropriety and assist Company personnel in planning transactions in the Company’s securities for appropriate times, </w:t>
      </w:r>
      <w:r>
        <w:rPr>
          <w:rFonts w:ascii="Times New Roman" w:cs="Times New Roman" w:eastAsia="Times New Roman" w:hAnsi="Times New Roman"/>
          <w:sz w:val="18"/>
          <w:szCs w:val="18"/>
          <w:b w:val="1"/>
          <w:bCs w:val="1"/>
          <w:color w:val="auto"/>
        </w:rPr>
        <w:t>no officer, director, or employee shall purchase or sell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security of the Company during the period beginning at 11:59 p.m. ET on the 14th calendar day before the end of any fiscal quarter of the Company and ending upon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For example, if the Company’s fourth fiscal quarter ends on December 31,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blackout period would begin at 11:59 p.m., ET, on December 17 and end at the close of trading (generally, 4:01 p.m., ET) on the second full trading day after the public release of earnings data for such fiscal quarter.</w:t>
      </w:r>
    </w:p>
    <w:p>
      <w:pPr>
        <w:spacing w:after="0" w:line="190" w:lineRule="exact"/>
        <w:rPr>
          <w:sz w:val="20"/>
          <w:szCs w:val="20"/>
          <w:color w:val="auto"/>
        </w:rPr>
      </w:pPr>
    </w:p>
    <w:p>
      <w:pPr>
        <w:jc w:val="both"/>
        <w:ind w:right="20" w:firstLine="631"/>
        <w:spacing w:after="0" w:line="297"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Company’s Chief Legal Officer or Chief Financial Officer or, in the case of exceptions for directors, the Board of Directors or Audit Committee.</w:t>
      </w:r>
    </w:p>
    <w:p>
      <w:pPr>
        <w:spacing w:after="0" w:line="163"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From time to time, other types of material nonpublic information regarding the Company (such as negotiation of mergers, acquisitions or dispositions, investigation and assessment of cybersecurity incidents or new product developments) may be pending and not be publicly disclosed. While such material nonpublic information is pending, the Company, through the Board of Directors or the Chief</w:t>
      </w:r>
    </w:p>
    <w:p>
      <w:pPr>
        <w:spacing w:after="0" w:line="2"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Legal Officer or Chief Financial Officer may recommend that officers, directors, employees, or others suspend trading in the Company’s securities because of developments that have not yet been disclosed to the public. Subject to the exceptions noted above, all those affected should not trade in the Company’s securities while the suspension is in effect, and should not disclose to others that the Company has suspended trading.</w:t>
      </w:r>
    </w:p>
    <w:p>
      <w:pPr>
        <w:spacing w:after="0" w:line="185" w:lineRule="exact"/>
        <w:rPr>
          <w:sz w:val="20"/>
          <w:szCs w:val="20"/>
          <w:color w:val="auto"/>
        </w:rPr>
      </w:pPr>
    </w:p>
    <w:p>
      <w:pPr>
        <w:jc w:val="both"/>
        <w:ind w:firstLine="631"/>
        <w:spacing w:after="0" w:line="269" w:lineRule="auto"/>
        <w:rPr>
          <w:sz w:val="20"/>
          <w:szCs w:val="20"/>
          <w:color w:val="auto"/>
        </w:rPr>
      </w:pPr>
      <w:r>
        <w:rPr>
          <w:rFonts w:ascii="Times New Roman" w:cs="Times New Roman" w:eastAsia="Times New Roman" w:hAnsi="Times New Roman"/>
          <w:sz w:val="18"/>
          <w:szCs w:val="18"/>
          <w:color w:val="auto"/>
        </w:rPr>
        <w:t>Section 306(a) of the Sarbanes-Oxley Act of 2002 and Regulation BTR prohibit directors and officers from directly or indirectly, purchasing, selling or otherwise acquiring or transferring any equity security of the company when a company pension plan has instituted a blackout period prohibiting plan participants and beneficiaries in the plan from engaging in transactions involving the Company’s securities. These prohibitions apply only if the securities acquired or disposed of by the director or executive officer were acquired in connection with his or her service or employment as a director or executive officer. Section 306(a) of the Sarbanes-Oxley Act of 2002 also requires the Company to notify its directors and executive officers, as well as the SEC, of an impending blackout period on a timely basis.</w:t>
      </w:r>
    </w:p>
    <w:p>
      <w:pPr>
        <w:spacing w:after="0" w:line="188" w:lineRule="exact"/>
        <w:rPr>
          <w:sz w:val="20"/>
          <w:szCs w:val="20"/>
          <w:color w:val="auto"/>
        </w:rPr>
      </w:pPr>
    </w:p>
    <w:p>
      <w:pPr>
        <w:jc w:val="both"/>
        <w:ind w:firstLine="631"/>
        <w:spacing w:after="0" w:line="274" w:lineRule="auto"/>
        <w:rPr>
          <w:sz w:val="20"/>
          <w:szCs w:val="20"/>
          <w:color w:val="auto"/>
        </w:rPr>
      </w:pPr>
      <w:r>
        <w:rPr>
          <w:rFonts w:ascii="Times New Roman" w:cs="Times New Roman" w:eastAsia="Times New Roman" w:hAnsi="Times New Roman"/>
          <w:sz w:val="18"/>
          <w:szCs w:val="18"/>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92"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Pre-Clearance of Trades of Company Securities</w:t>
      </w:r>
    </w:p>
    <w:p>
      <w:pPr>
        <w:spacing w:after="0" w:line="229" w:lineRule="exact"/>
        <w:rPr>
          <w:sz w:val="20"/>
          <w:szCs w:val="20"/>
          <w:color w:val="auto"/>
        </w:rPr>
      </w:pPr>
    </w:p>
    <w:p>
      <w:pPr>
        <w:jc w:val="both"/>
        <w:ind w:firstLine="631"/>
        <w:spacing w:after="0" w:line="263"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and avoiding even the appearance of an improper transaction (which could result, for example, where an individual engages in a trade while unaware of a pending major development), all directors and officers, and certain employees of the Company in a position to have access to material non-public information so designated on a preclearance list attached as Schedule 1 (as amended from time time), which currently includes all employees (“</w:t>
      </w:r>
      <w:r>
        <w:rPr>
          <w:rFonts w:ascii="Times New Roman" w:cs="Times New Roman" w:eastAsia="Times New Roman" w:hAnsi="Times New Roman"/>
          <w:sz w:val="18"/>
          <w:szCs w:val="18"/>
          <w:b w:val="1"/>
          <w:bCs w:val="1"/>
          <w:i w:val="1"/>
          <w:iCs w:val="1"/>
          <w:color w:val="auto"/>
        </w:rPr>
        <w:t>Pre-Determined Insiders</w:t>
      </w:r>
      <w:r>
        <w:rPr>
          <w:rFonts w:ascii="Times New Roman" w:cs="Times New Roman" w:eastAsia="Times New Roman" w:hAnsi="Times New Roman"/>
          <w:sz w:val="18"/>
          <w:szCs w:val="18"/>
          <w:color w:val="auto"/>
        </w:rPr>
        <w:t>”) and the Family Members and Controlled Entities of such persons, must obtain pre-clearance in writing from our Compliance Officer of all transactions in Company securities (e.g., acquisitions, dispositions, transfers, gifts, etc.). For purposes of this paragraph, any venture capital fund or other entity that engages in the investment of securities in the ordinary course of its business (e.g., an investment fund or partnership) other than for an employee, officer or a director’s own account, if such entity has established its own insider trading controls and procedures in compliance with applicable securities laws, shall not constitute a “Controlled Entity.” Unless a transaction is pursuant to a Trading Plan (as defined below), you must submit a written request for pre-clearance of a transaction no later than two business days before the proposed date of execution of the transaction unless you obtain a waiver from the Audit Committee of the Board of Directors. The Company shall record the date such request is received and the date each request is approved or rejected. Unless revoked, a grant of permission will normally remain valid until the close of trading five (5) business days following the day on which it was granted. If the transaction does not occur during such five-day period, the pre-clearance must be renewed by the applicant after five business days to be valid. At this time, all individuals have been designated as Pre-Determined Insiders. You will be notified if at a later date the Company determines that this pre-clearance policy is not applicable to you and the Company will maintain a list of all Pre-Determined Insiders.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181" w:name="page182"/>
    <w:bookmarkEnd w:id="181"/>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Pre-clearance does not relieve anyone of their responsibility under SEC rules. All individuals, whether subject to pre-clearance or not, are responsible for adherence to this Policy, including, but not limited to: not tipping or trading on insider information; not trading during trading blackout periods; not trading for two full trading days after earnings announcements or other significant Company announcements; and not trading in securities on a short-term basis. If you are in doubt of whether or not pre-clearance is required, you should inquire with our Compliance Officer or obtain pre-clearance as a cautionary measure.</w:t>
      </w:r>
    </w:p>
    <w:p>
      <w:pPr>
        <w:spacing w:after="0" w:line="199"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This Policy continues to apply to transactions in the Company’s securities even after termination of service to the Company. If you are in possession of material nonpublic information when your service terminates, you may not engage in any of the activities prohibited by this Policy until that information has become public or is no longer material, and if your service with the Company is terminated during a blackout period you will continue to be subject to trade restrictions until the end of the applicable blackout period during which his or her services were terminated.</w:t>
      </w:r>
    </w:p>
    <w:p>
      <w:pPr>
        <w:spacing w:after="0" w:line="195"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w:t>
      </w:r>
      <w:r>
        <w:rPr>
          <w:rFonts w:ascii="Times New Roman" w:cs="Times New Roman" w:eastAsia="Times New Roman" w:hAnsi="Times New Roman"/>
          <w:sz w:val="18"/>
          <w:szCs w:val="18"/>
          <w:color w:val="auto"/>
        </w:rPr>
        <w:t>Relating to the Company</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Access to Information</w:t>
      </w:r>
    </w:p>
    <w:p>
      <w:pPr>
        <w:spacing w:after="0" w:line="239"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any other than “need-to-know” basis.</w:t>
      </w:r>
    </w:p>
    <w:p>
      <w:pPr>
        <w:spacing w:after="0" w:line="186" w:lineRule="exact"/>
        <w:rPr>
          <w:sz w:val="20"/>
          <w:szCs w:val="20"/>
          <w:color w:val="auto"/>
        </w:rPr>
      </w:pPr>
    </w:p>
    <w:p>
      <w:pPr>
        <w:jc w:val="both"/>
        <w:ind w:right="20" w:firstLine="631"/>
        <w:spacing w:after="0" w:line="297" w:lineRule="auto"/>
        <w:rPr>
          <w:sz w:val="20"/>
          <w:szCs w:val="20"/>
          <w:color w:val="auto"/>
        </w:rPr>
      </w:pPr>
      <w:r>
        <w:rPr>
          <w:rFonts w:ascii="Times New Roman" w:cs="Times New Roman" w:eastAsia="Times New Roman" w:hAnsi="Times New Roman"/>
          <w:sz w:val="18"/>
          <w:szCs w:val="18"/>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182" w:name="page183"/>
    <w:bookmarkEnd w:id="182"/>
    <w:p>
      <w:pPr>
        <w:ind w:left="1460" w:hanging="804"/>
        <w:spacing w:after="0"/>
        <w:tabs>
          <w:tab w:leader="none" w:pos="1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From Third Parties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attention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at legal@nexxen.com.</w:t>
      </w:r>
    </w:p>
    <w:p>
      <w:pPr>
        <w:spacing w:after="0" w:line="23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Additional Prohibited Transactions</w:t>
      </w:r>
    </w:p>
    <w:p>
      <w:pPr>
        <w:spacing w:after="0" w:line="243" w:lineRule="exact"/>
        <w:rPr>
          <w:sz w:val="20"/>
          <w:szCs w:val="20"/>
          <w:color w:val="auto"/>
        </w:rPr>
      </w:pPr>
    </w:p>
    <w:p>
      <w:pPr>
        <w:jc w:val="both"/>
        <w:ind w:firstLine="631"/>
        <w:spacing w:after="0" w:line="274"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192"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 Sales</w:t>
      </w:r>
    </w:p>
    <w:p>
      <w:pPr>
        <w:spacing w:after="0" w:line="229" w:lineRule="exact"/>
        <w:rPr>
          <w:sz w:val="20"/>
          <w:szCs w:val="20"/>
          <w:color w:val="auto"/>
        </w:rPr>
      </w:pPr>
    </w:p>
    <w:p>
      <w:pPr>
        <w:jc w:val="both"/>
        <w:ind w:firstLine="631"/>
        <w:spacing w:after="0" w:line="281" w:lineRule="auto"/>
        <w:rPr>
          <w:sz w:val="20"/>
          <w:szCs w:val="20"/>
          <w:color w:val="auto"/>
        </w:rPr>
      </w:pPr>
      <w:r>
        <w:rPr>
          <w:rFonts w:ascii="Times New Roman" w:cs="Times New Roman" w:eastAsia="Times New Roman" w:hAnsi="Times New Roman"/>
          <w:sz w:val="18"/>
          <w:szCs w:val="18"/>
          <w:color w:val="auto"/>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w:t>
      </w:r>
    </w:p>
    <w:p>
      <w:pPr>
        <w:spacing w:after="0" w:line="173"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Publicly Traded Options</w:t>
      </w:r>
    </w:p>
    <w:p>
      <w:pPr>
        <w:spacing w:after="0" w:line="243"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A transaction in options is, in effect, a bet on the short-term movement of the Company’s shares and therefore creates the appearance that an officer, director, or employee is trading based on material nonpublic information. Transactions in options may also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199"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Hedging or Monetization Transactions</w:t>
      </w:r>
    </w:p>
    <w:p>
      <w:pPr>
        <w:spacing w:after="0" w:line="229"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an officer, director, or employee to lock in much of the value of his or her share holdings, often in exchange for all or part of the potential for upside appreciation in the shares. Such transactions allow the officer, director, or employee to continue to own the covered securities, but without the full risks and rewards of ownership. When that occurs, the officer, director, or employee may no longer have the same objectives as the Company’s other shareholders. Therefore, the Company strongly discourages you from engaging in such transactions. Any person wishing to enter into such an arrangement must first submit the proposed transaction for approval by the Compliance Officer. Any request for pre-clearance of a hedging or similar arrangement must be submitted to the Compliance Officer at least two weeks prior to the proposed execution of documents evidencing the proposed transaction and must set forth a justification for the proposed transaction.</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183" w:name="page184"/>
    <w:bookmarkEnd w:id="183"/>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Purchases of the Company’s Securities on Margin; Pledging the Company’s Securities to Secure Margin or Other Loans</w:t>
      </w:r>
    </w:p>
    <w:p>
      <w:pPr>
        <w:spacing w:after="0" w:line="229"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195"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and Executive Officer Cashless Exercises</w:t>
      </w:r>
    </w:p>
    <w:p>
      <w:pPr>
        <w:spacing w:after="0" w:line="229"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shares promptly upon payment of the exercise price, (iii) the director or officer uses a cashless exercise arrangement (to be settled per the required or standard settlement cycle), in which the Company agrees to deliver shares against the payment of the purchase price on the same day the sale of the shares underlying the equity award settles and (iv) the director or officer otherwise complies with this Policy. Under such cashless exercises, a broker, the issuer and the issuer’s transfer agent work together to make all transactions settle simultaneously. This approach is to avoid any inference that the Company has “extended credit” in the form of a personal loan to the director or executive officer.</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Questions about cashless exercises should be directed to the Compliance Officer.</w:t>
      </w:r>
    </w:p>
    <w:p>
      <w:pPr>
        <w:spacing w:after="0" w:line="235"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Standing Orders</w:t>
      </w:r>
    </w:p>
    <w:p>
      <w:pPr>
        <w:spacing w:after="0" w:line="243" w:lineRule="exact"/>
        <w:rPr>
          <w:sz w:val="20"/>
          <w:szCs w:val="20"/>
          <w:color w:val="auto"/>
        </w:rPr>
      </w:pPr>
    </w:p>
    <w:p>
      <w:pPr>
        <w:jc w:val="both"/>
        <w:ind w:firstLine="631"/>
        <w:spacing w:after="0" w:line="264" w:lineRule="auto"/>
        <w:rPr>
          <w:sz w:val="20"/>
          <w:szCs w:val="20"/>
          <w:color w:val="auto"/>
        </w:rPr>
      </w:pPr>
      <w:r>
        <w:rPr>
          <w:rFonts w:ascii="Times New Roman" w:cs="Times New Roman" w:eastAsia="Times New Roman" w:hAnsi="Times New Roman"/>
          <w:sz w:val="18"/>
          <w:szCs w:val="18"/>
          <w:color w:val="auto"/>
        </w:rPr>
        <w:t>A standing order placed with a broker to sell or purchase Company securities at a specified price leaves the security-holder with no control over the timing of the transaction. Standing orders are prohibited during any quarterly blackout period or event-specific blackout period applicable to the individual. A transaction pursuant to a standing order, which does not meet the standards of a Trading Plan (as defined below) approved in compliance with this Policy, executed by the broker when the individual subject to this Policy is aware of material non-public information about the Company, may result in unlawful insider trading. Other than in connection with Trading Plan under this Policy, entry into or fulfillment of a standing order is prohibited whenever an individual subject to this Policy is in possession of material nonpublic information about the Company (including during a closed period or quarterly blackout period for persons subject to the blackout restrictions of this Policy or ad hoc black-out period for those insiders subject to such procedures). All standing orders must be of limited duration, cancelable, and in the case of a person subject to the blackout restrictions of this Policy or a person subject to an ad hoc black-out period, must be immediately canceled upon commencement of quarterly black-out or ad hoc black-out period, as applicable.</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184" w:name="page185"/>
    <w:bookmarkEnd w:id="184"/>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Rule 10b5-1 Trading Plans</w:t>
      </w:r>
    </w:p>
    <w:p>
      <w:pPr>
        <w:spacing w:after="0" w:line="225"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18"/>
          <w:szCs w:val="18"/>
          <w:color w:val="auto"/>
        </w:rPr>
        <w:t>Trades in the Company’s securities that are executed pursuant to an approved Rule 10b5-1 trading plan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are not subject to the prohibition on trading on the basis of material non-public information contained in this Policy or to the restrictions set forth above relating to preclearance procedures and blackout periods. Rule 10b5-1 under the Exchange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provides an affirmative defense from insider trading liability under the federal securities laws for a Trading Plan that meets the requirements of Rule 10b5-1.</w:t>
      </w:r>
    </w:p>
    <w:p>
      <w:pPr>
        <w:spacing w:after="0" w:line="196"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As required by Rule 10b5-1, any director or officer adopting a Trading Plan must include a written representation certifying that, at the time of adoption, modification or termination of the Trading Plan, the director or officer (i) is not aware of any material nonpublic information about the Company and (ii) is adopting, modifying or terminating the Trading Plan in good faith and not as part of a plan or scheme to evade the prohibitions of Rule 10b5-1.</w:t>
      </w:r>
    </w:p>
    <w:p>
      <w:pPr>
        <w:spacing w:after="0" w:line="186" w:lineRule="exact"/>
        <w:rPr>
          <w:sz w:val="20"/>
          <w:szCs w:val="20"/>
          <w:color w:val="auto"/>
        </w:rPr>
      </w:pPr>
    </w:p>
    <w:p>
      <w:pPr>
        <w:jc w:val="both"/>
        <w:ind w:firstLine="631"/>
        <w:spacing w:after="0" w:line="270" w:lineRule="auto"/>
        <w:rPr>
          <w:sz w:val="20"/>
          <w:szCs w:val="20"/>
          <w:color w:val="auto"/>
        </w:rPr>
      </w:pPr>
      <w:r>
        <w:rPr>
          <w:rFonts w:ascii="Times New Roman" w:cs="Times New Roman" w:eastAsia="Times New Roman" w:hAnsi="Times New Roman"/>
          <w:sz w:val="18"/>
          <w:szCs w:val="18"/>
          <w:color w:val="auto"/>
        </w:rPr>
        <w:t>You may not adopt more than one Trading Plan at a time. Trading Plans are to be implemented only during open windows and when the party entering into it is not aware of any material non-public information about the Company and must otherwise comply with applicable SEC rules and regulations. Any Trading Plan must be approved in writing in advance by our Company Secretary, Compliance Officer or such other person as the Board of Directors may designate from time to time and the adoption or termination of such plan will be subject to applicable SEC rules regarding disclosure thereof and may otherwise be publicly announced by the Company.</w:t>
      </w:r>
    </w:p>
    <w:p>
      <w:pPr>
        <w:spacing w:after="0" w:line="186"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Any Trading Plan adopted by a director or executive officer shall be subject to a cooling-off period that complies with Rule 10b5-1, which currently requires that trading may not commence until the later of (i) 90 days following adoption of the Trading Plan or (ii) two business days following the filing of the Company’s Form 20-F or Form 6-K disclosing the Company’s financial results for the fiscal quarter in which the Trading Plan was adopted, subject to a maximum cooling-off period of 120 days.</w:t>
      </w:r>
    </w:p>
    <w:p>
      <w:pPr>
        <w:spacing w:after="0" w:line="186" w:lineRule="exact"/>
        <w:rPr>
          <w:sz w:val="20"/>
          <w:szCs w:val="20"/>
          <w:color w:val="auto"/>
        </w:rPr>
      </w:pPr>
    </w:p>
    <w:p>
      <w:pPr>
        <w:jc w:val="both"/>
        <w:ind w:firstLine="631"/>
        <w:spacing w:after="0" w:line="297" w:lineRule="auto"/>
        <w:rPr>
          <w:sz w:val="20"/>
          <w:szCs w:val="20"/>
          <w:color w:val="auto"/>
        </w:rPr>
      </w:pPr>
      <w:r>
        <w:rPr>
          <w:rFonts w:ascii="Times New Roman" w:cs="Times New Roman" w:eastAsia="Times New Roman" w:hAnsi="Times New Roman"/>
          <w:sz w:val="18"/>
          <w:szCs w:val="18"/>
          <w:color w:val="auto"/>
        </w:rPr>
        <w:t>Unless otherwise determined by the Board, the Company requires all executive officers and directors conduct transactions involving the company’s securities exclusively under a Trading Plan.</w:t>
      </w:r>
    </w:p>
    <w:p>
      <w:pPr>
        <w:spacing w:after="0" w:line="163" w:lineRule="exact"/>
        <w:rPr>
          <w:sz w:val="20"/>
          <w:szCs w:val="20"/>
          <w:color w:val="auto"/>
        </w:rPr>
      </w:pPr>
    </w:p>
    <w:p>
      <w:pPr>
        <w:jc w:val="both"/>
        <w:ind w:firstLine="631"/>
        <w:spacing w:after="0" w:line="263" w:lineRule="auto"/>
        <w:rPr>
          <w:sz w:val="20"/>
          <w:szCs w:val="20"/>
          <w:color w:val="auto"/>
        </w:rPr>
      </w:pPr>
      <w:r>
        <w:rPr>
          <w:rFonts w:ascii="Times New Roman" w:cs="Times New Roman" w:eastAsia="Times New Roman" w:hAnsi="Times New Roman"/>
          <w:sz w:val="18"/>
          <w:szCs w:val="18"/>
          <w:color w:val="auto"/>
        </w:rPr>
        <w:t xml:space="preserve">Revocation or amendment of a Trading Plan is strongly discouraged. An insider may only revoke his or her Trading Plan as may be permitted by the terms of the insider’s Trading Plan and current SEC requirements. Revocation is effected upon written notice to the broker, and prior written notice should also be provided to the Chief Legal Officer. If the insider terminates their Trading Plan, any new Trading Plan would be subject to the applicable SEC-mandated “cooling off” period and any other restrictions then in effect by the SEC. Under certain circumstances, a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revoked. This may include circumstances such as the announcement of a merger or the occurrence of an event that would cause the transaction either to violate the law or to have an adverse effect on the Company. The Chief Legal Officer or Compliance Officer or administrator of the Company’s share plans is authorized to notify the broker in such circumstances, thereby insulating the insider in the event of revocation. Effectiveness of any revocation or amendment of a Trading Plan will be upon written notice to the broker, subject to the prior review and approval of the Chief Legal Officer or Compliance Officer. Any modification of a Trading Plan that changes the amount, price or timing of the purchase or sale of the Company’s securities underlying the Trading Plan will be deemed to be the same as terminating the Trading Plan and entering into a new Trading Plan. As a result, the process for a Trading Plan modification is the same as the process for initially adopting the Trading Plan, including being subject to a new “cooling-off” period. You should note that revocation of a Trading Plan can result in the loss of an affirmative defense for past or future transactions under a Trading Plan. You should consult with your own legal counsel before deciding to revoke a Trading Plan.</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185" w:name="page186"/>
    <w:bookmarkEnd w:id="185"/>
    <w:p>
      <w:pPr>
        <w:jc w:val="both"/>
        <w:ind w:firstLine="631"/>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Compliance Officer.</w:t>
      </w:r>
    </w:p>
    <w:p>
      <w:pPr>
        <w:spacing w:after="0" w:line="189"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publicly announce, or respond to inquiries from the media regarding, the implementation of Trading Plans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 Transactions prohibited under this Policy, including short sales and hedging transactions, may not be carried out through a Trading Plan.</w:t>
      </w:r>
    </w:p>
    <w:p>
      <w:pPr>
        <w:spacing w:after="0" w:line="203"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8"/>
          <w:szCs w:val="18"/>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 any liability for any delay in reviewing and/or refusing a Trading Plan submitted for approval nor the legality or consequences relating to a person entering into or trading under a Trading Plan.</w:t>
      </w:r>
    </w:p>
    <w:p>
      <w:pPr>
        <w:spacing w:after="0" w:line="186" w:lineRule="exact"/>
        <w:rPr>
          <w:sz w:val="20"/>
          <w:szCs w:val="20"/>
          <w:color w:val="auto"/>
        </w:rPr>
      </w:pPr>
    </w:p>
    <w:p>
      <w:pPr>
        <w:jc w:val="both"/>
        <w:ind w:firstLine="631"/>
        <w:spacing w:after="0" w:line="266" w:lineRule="auto"/>
        <w:rPr>
          <w:sz w:val="20"/>
          <w:szCs w:val="20"/>
          <w:color w:val="auto"/>
        </w:rPr>
      </w:pPr>
      <w:r>
        <w:rPr>
          <w:rFonts w:ascii="Times New Roman" w:cs="Times New Roman" w:eastAsia="Times New Roman" w:hAnsi="Times New Roman"/>
          <w:sz w:val="18"/>
          <w:szCs w:val="18"/>
          <w:color w:val="auto"/>
        </w:rPr>
        <w:t>If, during the last fiscal quarter, any director or officer has adopted or terminated a Trading Plan or a pre-arranged trading plan that does not qualify as a Rule 10b5-1 plan (including modifications to any such plans), the Company will provide a description of the material terms of such plans, including the name and title of the director or officer, date of the adoption or termination, duration, and aggregate number of shares to be sold or purchased. The Company is not required to disclose the price at which trades are authorized to be made under the Trading Plan. On a yearly basis, the Company is required to disclose (in its Form 20-F and in any proxy statements) whether it has adopted any insider trading-related policies and procedures governing the purchase, sale or other disposition of their securities by directors, officers, employees or the Company itself and, if not, to explain why that is the case. A copy of such policies and procedures must be filed as an exhibit to its Form 20-F.</w:t>
      </w:r>
    </w:p>
    <w:p>
      <w:pPr>
        <w:spacing w:after="0" w:line="190" w:lineRule="exact"/>
        <w:rPr>
          <w:sz w:val="20"/>
          <w:szCs w:val="20"/>
          <w:color w:val="auto"/>
        </w:rPr>
      </w:pPr>
    </w:p>
    <w:p>
      <w:pPr>
        <w:jc w:val="both"/>
        <w:ind w:firstLine="631"/>
        <w:spacing w:after="0" w:line="297" w:lineRule="auto"/>
        <w:rPr>
          <w:sz w:val="20"/>
          <w:szCs w:val="20"/>
          <w:color w:val="auto"/>
        </w:rPr>
      </w:pPr>
      <w:r>
        <w:rPr>
          <w:rFonts w:ascii="Times New Roman" w:cs="Times New Roman" w:eastAsia="Times New Roman" w:hAnsi="Times New Roman"/>
          <w:sz w:val="18"/>
          <w:szCs w:val="18"/>
          <w:color w:val="auto"/>
        </w:rPr>
        <w:t>All Trading Plans must be entered into, operated, and complied with in good faith throughout their duration. Any action taken to undermine or manipulate the operation of a Trading Plan may invalidate the affirmative defense under Rule 10b5-1.</w:t>
      </w:r>
    </w:p>
    <w:p>
      <w:pPr>
        <w:spacing w:after="0" w:line="159"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Company Transactions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Transactions by the Company in the Company’s securities, such as repurchases of the Company’s shares, must comply with applicable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230"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Execution and Return of Certification of Compliance</w:t>
      </w:r>
    </w:p>
    <w:p>
      <w:pPr>
        <w:spacing w:after="0" w:line="229" w:lineRule="exact"/>
        <w:rPr>
          <w:sz w:val="20"/>
          <w:szCs w:val="20"/>
          <w:color w:val="auto"/>
        </w:rPr>
      </w:pPr>
    </w:p>
    <w:p>
      <w:pPr>
        <w:jc w:val="both"/>
        <w:ind w:firstLine="631"/>
        <w:spacing w:after="0" w:line="297" w:lineRule="auto"/>
        <w:rPr>
          <w:sz w:val="20"/>
          <w:szCs w:val="20"/>
          <w:color w:val="auto"/>
        </w:rPr>
      </w:pPr>
      <w:r>
        <w:rPr>
          <w:rFonts w:ascii="Times New Roman" w:cs="Times New Roman" w:eastAsia="Times New Roman" w:hAnsi="Times New Roman"/>
          <w:sz w:val="18"/>
          <w:szCs w:val="18"/>
          <w:color w:val="auto"/>
        </w:rPr>
        <w:t>After reading this Policy, all officers, directors, and employees should execute and return to the Company’s Compliance Officer the Certification of Compliance form attached hereto as “Attachment A.”</w:t>
      </w:r>
    </w:p>
    <w:p>
      <w:pPr>
        <w:spacing w:after="0" w:line="163"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Adopted: June 17,</w:t>
      </w:r>
    </w:p>
    <w:p>
      <w:pPr>
        <w:spacing w:after="0" w:line="2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2021</w:t>
      </w:r>
    </w:p>
    <w:p>
      <w:pPr>
        <w:spacing w:after="0" w:line="234" w:lineRule="exact"/>
        <w:rPr>
          <w:sz w:val="20"/>
          <w:szCs w:val="20"/>
          <w:color w:val="auto"/>
        </w:rPr>
      </w:pPr>
    </w:p>
    <w:p>
      <w:pPr>
        <w:ind w:left="9720"/>
        <w:spacing w:after="0"/>
        <w:tabs>
          <w:tab w:leader="none" w:pos="10640" w:val="left"/>
        </w:tabs>
        <w:rPr>
          <w:sz w:val="20"/>
          <w:szCs w:val="20"/>
          <w:color w:val="auto"/>
        </w:rPr>
      </w:pPr>
      <w:r>
        <w:rPr>
          <w:rFonts w:ascii="Times New Roman" w:cs="Times New Roman" w:eastAsia="Times New Roman" w:hAnsi="Times New Roman"/>
          <w:sz w:val="18"/>
          <w:szCs w:val="18"/>
          <w:color w:val="auto"/>
        </w:rPr>
        <w:t>Amended:</w:t>
        <w:tab/>
        <w:t>March</w:t>
      </w:r>
    </w:p>
    <w:p>
      <w:pPr>
        <w:spacing w:after="0" w:line="2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5, 2024</w:t>
      </w:r>
    </w:p>
    <w:p>
      <w:pPr>
        <w:spacing w:after="0" w:line="234" w:lineRule="exact"/>
        <w:rPr>
          <w:sz w:val="20"/>
          <w:szCs w:val="20"/>
          <w:color w:val="auto"/>
        </w:rPr>
      </w:pPr>
    </w:p>
    <w:p>
      <w:pPr>
        <w:ind w:left="9720"/>
        <w:spacing w:after="0"/>
        <w:tabs>
          <w:tab w:leader="none" w:pos="10640" w:val="left"/>
        </w:tabs>
        <w:rPr>
          <w:sz w:val="20"/>
          <w:szCs w:val="20"/>
          <w:color w:val="auto"/>
        </w:rPr>
      </w:pPr>
      <w:r>
        <w:rPr>
          <w:rFonts w:ascii="Times New Roman" w:cs="Times New Roman" w:eastAsia="Times New Roman" w:hAnsi="Times New Roman"/>
          <w:sz w:val="18"/>
          <w:szCs w:val="18"/>
          <w:color w:val="auto"/>
        </w:rPr>
        <w:t>Amended:</w:t>
        <w:tab/>
        <w:t>March</w:t>
      </w:r>
    </w:p>
    <w:p>
      <w:pPr>
        <w:spacing w:after="0" w:line="2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4, 2025</w:t>
      </w:r>
    </w:p>
    <w:p>
      <w:pPr>
        <w:spacing w:after="0" w:line="234" w:lineRule="exact"/>
        <w:rPr>
          <w:sz w:val="20"/>
          <w:szCs w:val="20"/>
          <w:color w:val="auto"/>
        </w:rPr>
      </w:pPr>
    </w:p>
    <w:p>
      <w:pPr>
        <w:ind w:left="9720"/>
        <w:spacing w:after="0"/>
        <w:tabs>
          <w:tab w:leader="none" w:pos="10640" w:val="left"/>
        </w:tabs>
        <w:rPr>
          <w:sz w:val="20"/>
          <w:szCs w:val="20"/>
          <w:color w:val="auto"/>
        </w:rPr>
      </w:pPr>
      <w:r>
        <w:rPr>
          <w:rFonts w:ascii="Times New Roman" w:cs="Times New Roman" w:eastAsia="Times New Roman" w:hAnsi="Times New Roman"/>
          <w:sz w:val="18"/>
          <w:szCs w:val="18"/>
          <w:color w:val="auto"/>
        </w:rPr>
        <w:t>Amended:</w:t>
        <w:tab/>
        <w:t>March</w:t>
      </w:r>
    </w:p>
    <w:p>
      <w:pPr>
        <w:spacing w:after="0" w:line="2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3, 2026</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186" w:name="page187"/>
    <w:bookmarkEnd w:id="18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43"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Individuals Subject to Preclearance Requirement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Directors</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187" w:name="page188"/>
    <w:bookmarkEnd w:id="187"/>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Compliance with the Insider Trading Policy FORM</w:t>
      </w:r>
    </w:p>
    <w:p>
      <w:pPr>
        <w:spacing w:after="0" w:line="24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Return by [</w:t>
      </w:r>
      <w:r>
        <w:rPr>
          <w:sz w:val="20"/>
          <w:szCs w:val="20"/>
          <w:color w:val="auto"/>
        </w:rPr>
        <w:tab/>
      </w:r>
      <w:r>
        <w:rPr>
          <w:rFonts w:ascii="Times New Roman" w:cs="Times New Roman" w:eastAsia="Times New Roman" w:hAnsi="Times New Roman"/>
          <w:sz w:val="18"/>
          <w:szCs w:val="18"/>
          <w:color w:val="auto"/>
        </w:rPr>
        <w:t>] [insert return deadline]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Insider Trading Compliance Policy of Nexxen International Ltd.</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 have received, reviewed, and understand the above-referenced Insider Trading Policy and undertake, as a condition to my present and continued employment, to comply fully with the policies and procedures contained therein.</w:t>
      </w:r>
    </w:p>
    <w:p>
      <w:pPr>
        <w:spacing w:after="0" w:line="16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 hereby certify, to the best of my knowledge, that up to the date hereof while employed with Nexxen International Ltd. or any of its affiliates, I will comply and have complied fully with all policies and procedures set forth in the above-referenced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771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424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Ofer Druker, certify that:</w:t>
      </w:r>
    </w:p>
    <w:p>
      <w:pPr>
        <w:spacing w:after="0" w:line="239" w:lineRule="exact"/>
        <w:rPr>
          <w:sz w:val="20"/>
          <w:szCs w:val="20"/>
          <w:color w:val="auto"/>
        </w:rPr>
      </w:pPr>
    </w:p>
    <w:p>
      <w:pPr>
        <w:ind w:left="1080" w:hanging="640"/>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Nexxen International Ltd.;</w:t>
      </w:r>
    </w:p>
    <w:p>
      <w:pPr>
        <w:spacing w:after="0" w:line="238" w:lineRule="exact"/>
        <w:rPr>
          <w:rFonts w:ascii="Times New Roman" w:cs="Times New Roman" w:eastAsia="Times New Roman" w:hAnsi="Times New Roman"/>
          <w:sz w:val="18"/>
          <w:szCs w:val="18"/>
          <w:color w:val="auto"/>
        </w:rPr>
      </w:pPr>
    </w:p>
    <w:p>
      <w:pPr>
        <w:jc w:val="both"/>
        <w:ind w:left="1080" w:hanging="640"/>
        <w:spacing w:after="0" w:line="274"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1080" w:right="20" w:hanging="640"/>
        <w:spacing w:after="0" w:line="297"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1080" w:hanging="640"/>
        <w:spacing w:after="0" w:line="274"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jc w:val="both"/>
        <w:ind w:left="1740" w:hanging="652"/>
        <w:spacing w:after="0" w:line="274" w:lineRule="auto"/>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jc w:val="both"/>
        <w:ind w:left="1740" w:right="20" w:hanging="652"/>
        <w:spacing w:after="0" w:line="281" w:lineRule="auto"/>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740" w:hanging="652"/>
        <w:spacing w:after="0" w:line="274" w:lineRule="auto"/>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740" w:right="20" w:hanging="652"/>
        <w:spacing w:after="0" w:line="274" w:lineRule="auto"/>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1080" w:hanging="640"/>
        <w:spacing w:after="0" w:line="297"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740" w:hanging="652"/>
        <w:spacing w:after="0" w:line="282" w:lineRule="auto"/>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740" w:hanging="652"/>
        <w:spacing w:after="0" w:line="297" w:lineRule="auto"/>
        <w:tabs>
          <w:tab w:leader="none" w:pos="17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Ofer Druker</w:t>
            </w:r>
          </w:p>
        </w:tc>
      </w:tr>
      <w:tr>
        <w:trPr>
          <w:trHeight w:val="20"/>
        </w:trPr>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45"/>
        </w:trPr>
        <w:tc>
          <w:tcPr>
            <w:tcW w:w="3560" w:type="dxa"/>
            <w:vAlign w:val="bottom"/>
          </w:tcPr>
          <w:p>
            <w:pPr>
              <w:spacing w:after="0"/>
              <w:rPr>
                <w:sz w:val="21"/>
                <w:szCs w:val="21"/>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Ofer Druker</w:t>
            </w:r>
          </w:p>
        </w:tc>
      </w:tr>
      <w:tr>
        <w:trPr>
          <w:trHeight w:val="216"/>
        </w:trPr>
        <w:tc>
          <w:tcPr>
            <w:tcW w:w="3560" w:type="dxa"/>
            <w:vAlign w:val="bottom"/>
          </w:tcPr>
          <w:p>
            <w:pPr>
              <w:spacing w:after="0"/>
              <w:rPr>
                <w:sz w:val="18"/>
                <w:szCs w:val="18"/>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7"/>
        </w:trPr>
        <w:tc>
          <w:tcPr>
            <w:tcW w:w="3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163"/>
        </w:trPr>
        <w:tc>
          <w:tcPr>
            <w:tcW w:w="35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14"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3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Sagi Niri, certify that:</w:t>
      </w:r>
    </w:p>
    <w:p>
      <w:pPr>
        <w:spacing w:after="0" w:line="239" w:lineRule="exact"/>
        <w:rPr>
          <w:sz w:val="20"/>
          <w:szCs w:val="20"/>
          <w:color w:val="auto"/>
        </w:rPr>
      </w:pPr>
    </w:p>
    <w:p>
      <w:pPr>
        <w:ind w:left="1080" w:hanging="640"/>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Nexxen International Ltd.;</w:t>
      </w:r>
    </w:p>
    <w:p>
      <w:pPr>
        <w:spacing w:after="0" w:line="225" w:lineRule="exact"/>
        <w:rPr>
          <w:rFonts w:ascii="Times New Roman" w:cs="Times New Roman" w:eastAsia="Times New Roman" w:hAnsi="Times New Roman"/>
          <w:sz w:val="18"/>
          <w:szCs w:val="18"/>
          <w:color w:val="auto"/>
        </w:rPr>
      </w:pPr>
    </w:p>
    <w:p>
      <w:pPr>
        <w:jc w:val="both"/>
        <w:ind w:left="1080" w:hanging="640"/>
        <w:spacing w:after="0" w:line="274"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Times New Roman" w:cs="Times New Roman" w:eastAsia="Times New Roman" w:hAnsi="Times New Roman"/>
          <w:sz w:val="18"/>
          <w:szCs w:val="18"/>
          <w:color w:val="auto"/>
        </w:rPr>
      </w:pPr>
    </w:p>
    <w:p>
      <w:pPr>
        <w:ind w:left="1080" w:right="20" w:hanging="640"/>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1080" w:hanging="640"/>
        <w:spacing w:after="0" w:line="281"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1740" w:hanging="652"/>
        <w:spacing w:after="0" w:line="274" w:lineRule="auto"/>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jc w:val="both"/>
        <w:ind w:left="1740" w:right="20" w:hanging="652"/>
        <w:spacing w:after="0" w:line="274" w:lineRule="auto"/>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8"/>
          <w:szCs w:val="18"/>
          <w:color w:val="auto"/>
        </w:rPr>
      </w:pPr>
    </w:p>
    <w:p>
      <w:pPr>
        <w:jc w:val="both"/>
        <w:ind w:left="1740" w:hanging="652"/>
        <w:spacing w:after="0" w:line="274" w:lineRule="auto"/>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1740" w:right="20" w:hanging="652"/>
        <w:spacing w:after="0" w:line="281" w:lineRule="auto"/>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80" w:hanging="640"/>
        <w:spacing w:after="0" w:line="297"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740" w:hanging="652"/>
        <w:spacing w:after="0" w:line="282" w:lineRule="auto"/>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740" w:hanging="652"/>
        <w:spacing w:after="0" w:line="297" w:lineRule="auto"/>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Sagi Niri</w:t>
            </w:r>
          </w:p>
        </w:tc>
      </w:tr>
      <w:tr>
        <w:trPr>
          <w:trHeight w:val="20"/>
        </w:trPr>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2"/>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Sagi Niri</w:t>
            </w:r>
          </w:p>
        </w:tc>
      </w:tr>
      <w:tr>
        <w:trPr>
          <w:trHeight w:val="230"/>
        </w:trPr>
        <w:tc>
          <w:tcPr>
            <w:tcW w:w="3560" w:type="dxa"/>
            <w:vAlign w:val="bottom"/>
          </w:tcPr>
          <w:p>
            <w:pPr>
              <w:spacing w:after="0"/>
              <w:rPr>
                <w:sz w:val="19"/>
                <w:szCs w:val="19"/>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24"/>
        </w:trPr>
        <w:tc>
          <w:tcPr>
            <w:tcW w:w="3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163"/>
        </w:trPr>
        <w:tc>
          <w:tcPr>
            <w:tcW w:w="35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14"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20-F of Nexxen International Ltd. (the “Company”) for the year ended December 31, 2025 (the “Report”) for the purpose of complying with Rule 13a-14(b) or Rule 15d-14(b) of the Securities Exchange Act of 1934 (the “Exchange Act”) and Section 1350 of Chapter 63 of Title 18 of the United States Code.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Ofer Druker, Chief Executive Officer, certify that to the best of my knowledge:</w:t>
      </w:r>
    </w:p>
    <w:p>
      <w:pPr>
        <w:spacing w:after="0" w:line="252" w:lineRule="exact"/>
        <w:rPr>
          <w:sz w:val="20"/>
          <w:szCs w:val="20"/>
          <w:color w:val="auto"/>
        </w:rPr>
      </w:pPr>
    </w:p>
    <w:p>
      <w:pPr>
        <w:ind w:left="1040" w:hanging="589"/>
        <w:spacing w:after="0"/>
        <w:tabs>
          <w:tab w:leader="none" w:pos="10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38" w:lineRule="exact"/>
        <w:rPr>
          <w:rFonts w:ascii="Times New Roman" w:cs="Times New Roman" w:eastAsia="Times New Roman" w:hAnsi="Times New Roman"/>
          <w:sz w:val="18"/>
          <w:szCs w:val="18"/>
          <w:color w:val="auto"/>
        </w:rPr>
      </w:pPr>
    </w:p>
    <w:p>
      <w:pPr>
        <w:ind w:left="1100" w:hanging="649"/>
        <w:spacing w:after="0"/>
        <w:tabs>
          <w:tab w:leader="none" w:pos="11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Ofer Druker</w:t>
            </w:r>
          </w:p>
        </w:tc>
      </w:tr>
      <w:tr>
        <w:trPr>
          <w:trHeight w:val="20"/>
        </w:trPr>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2"/>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Ofer Druker</w:t>
            </w:r>
          </w:p>
        </w:tc>
      </w:tr>
      <w:tr>
        <w:trPr>
          <w:trHeight w:val="230"/>
        </w:trPr>
        <w:tc>
          <w:tcPr>
            <w:tcW w:w="3560" w:type="dxa"/>
            <w:vAlign w:val="bottom"/>
          </w:tcPr>
          <w:p>
            <w:pPr>
              <w:spacing w:after="0"/>
              <w:rPr>
                <w:sz w:val="19"/>
                <w:szCs w:val="19"/>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24"/>
        </w:trPr>
        <w:tc>
          <w:tcPr>
            <w:tcW w:w="3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163"/>
        </w:trPr>
        <w:tc>
          <w:tcPr>
            <w:tcW w:w="35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14"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20-F of Nexxen International Ltd. (the “Company”) for the year ended December 31, 2025 (the “Report”) for the purpose of complying with Rule 13a-14(b) or Rule 15d-14(b) of the Securities Exchange Act of 1934 (the “Exchange Act”) and Section 1350 of Chapter 63 of Title 18 of the United States Code.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Sagi Niri, Chief Financial Officer, certify that to the best of my knowledge:</w:t>
      </w:r>
    </w:p>
    <w:p>
      <w:pPr>
        <w:spacing w:after="0" w:line="252" w:lineRule="exact"/>
        <w:rPr>
          <w:sz w:val="20"/>
          <w:szCs w:val="20"/>
          <w:color w:val="auto"/>
        </w:rPr>
      </w:pPr>
    </w:p>
    <w:p>
      <w:pPr>
        <w:ind w:left="1040" w:hanging="589"/>
        <w:spacing w:after="0"/>
        <w:tabs>
          <w:tab w:leader="none" w:pos="10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38" w:lineRule="exact"/>
        <w:rPr>
          <w:rFonts w:ascii="Times New Roman" w:cs="Times New Roman" w:eastAsia="Times New Roman" w:hAnsi="Times New Roman"/>
          <w:sz w:val="18"/>
          <w:szCs w:val="18"/>
          <w:color w:val="auto"/>
        </w:rPr>
      </w:pPr>
    </w:p>
    <w:p>
      <w:pPr>
        <w:ind w:left="1100" w:hanging="649"/>
        <w:spacing w:after="0"/>
        <w:tabs>
          <w:tab w:leader="none" w:pos="11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Sagi Niri</w:t>
            </w:r>
          </w:p>
        </w:tc>
      </w:tr>
      <w:tr>
        <w:trPr>
          <w:trHeight w:val="20"/>
        </w:trPr>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2"/>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Sagi Niri</w:t>
            </w:r>
          </w:p>
        </w:tc>
      </w:tr>
      <w:tr>
        <w:trPr>
          <w:trHeight w:val="230"/>
        </w:trPr>
        <w:tc>
          <w:tcPr>
            <w:tcW w:w="3560" w:type="dxa"/>
            <w:vAlign w:val="bottom"/>
          </w:tcPr>
          <w:p>
            <w:pPr>
              <w:spacing w:after="0"/>
              <w:rPr>
                <w:sz w:val="19"/>
                <w:szCs w:val="19"/>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24"/>
        </w:trPr>
        <w:tc>
          <w:tcPr>
            <w:tcW w:w="35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163"/>
        </w:trPr>
        <w:tc>
          <w:tcPr>
            <w:tcW w:w="35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14"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333-258731, 333-277709 and 333-285552) on Form S-8 of our report dated March 4, 2026, with respect to the consolidated financial statements of Nexxen International Ltd.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Somekh Chaikin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Firm of KPMG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1)"/>
      <w:numFmt w:val="decimal"/>
      <w:start w:val="1"/>
    </w:lvl>
  </w:abstractNum>
  <w:abstractNum w:abstractNumId="32">
    <w:nsid w:val="14FCE74E"/>
    <w:multiLevelType w:val="hybridMultilevel"/>
    <w:lvl w:ilvl="0">
      <w:lvlJc w:val="left"/>
      <w:lvlText w:val="(%1)"/>
      <w:numFmt w:val="decimal"/>
      <w:start w:val="1"/>
    </w:lvl>
  </w:abstractNum>
  <w:abstractNum w:abstractNumId="33">
    <w:nsid w:val="6A3DD3E8"/>
    <w:multiLevelType w:val="hybridMultilevel"/>
    <w:lvl w:ilvl="0">
      <w:lvlJc w:val="left"/>
      <w:lvlText w:val="(%1)"/>
      <w:numFmt w:val="lowerLetter"/>
      <w:start w:val="1"/>
    </w:lvl>
  </w:abstractNum>
  <w:abstractNum w:abstractNumId="34">
    <w:nsid w:val="71C91298"/>
    <w:multiLevelType w:val="hybridMultilevel"/>
    <w:lvl w:ilvl="0">
      <w:lvlJc w:val="left"/>
      <w:lvlText w:val="(%1)"/>
      <w:numFmt w:val="decimal"/>
      <w:start w:val="1"/>
    </w:lvl>
  </w:abstractNum>
  <w:abstractNum w:abstractNumId="35">
    <w:nsid w:val="9DAF632"/>
    <w:multiLevelType w:val="hybridMultilevel"/>
    <w:lvl w:ilvl="0">
      <w:lvlJc w:val="left"/>
      <w:lvlText w:val="(%1)"/>
      <w:numFmt w:val="decimal"/>
      <w:start w:val="1"/>
    </w:lvl>
  </w:abstractNum>
  <w:abstractNum w:abstractNumId="36">
    <w:nsid w:val="53299938"/>
    <w:multiLevelType w:val="hybridMultilevel"/>
    <w:lvl w:ilvl="0">
      <w:lvlJc w:val="left"/>
      <w:lvlText w:val="(%1)"/>
      <w:numFmt w:val="decimal"/>
      <w:start w:val="2"/>
    </w:lvl>
  </w:abstractNum>
  <w:abstractNum w:abstractNumId="37">
    <w:nsid w:val="1FBFE8E0"/>
    <w:multiLevelType w:val="hybridMultilevel"/>
    <w:lvl w:ilvl="0">
      <w:lvlJc w:val="left"/>
      <w:lvlText w:val="(%1)"/>
      <w:numFmt w:val="lowerRoman"/>
      <w:start w:val="2"/>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1)"/>
      <w:numFmt w:val="decimal"/>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1)"/>
      <w:numFmt w:val="decimal"/>
      <w:start w:val="1"/>
    </w:lvl>
  </w:abstractNum>
  <w:abstractNum w:abstractNumId="62">
    <w:nsid w:val="2C27173B"/>
    <w:multiLevelType w:val="hybridMultilevel"/>
    <w:lvl w:ilvl="0">
      <w:lvlJc w:val="left"/>
      <w:lvlText w:val="(%1)"/>
      <w:numFmt w:val="decimal"/>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1."/>
      <w:numFmt w:val="lowerLetter"/>
      <w:start w:val="1"/>
    </w:lvl>
  </w:abstractNum>
  <w:abstractNum w:abstractNumId="67">
    <w:nsid w:val="3DD15094"/>
    <w:multiLevelType w:val="hybridMultilevel"/>
    <w:lvl w:ilvl="0">
      <w:lvlJc w:val="left"/>
      <w:lvlText w:val="%1."/>
      <w:numFmt w:val="lowerLetter"/>
      <w:start w:val="2"/>
    </w:lvl>
    <w:lvl w:ilvl="1">
      <w:lvlJc w:val="left"/>
      <w:lvlText w:val="%2)"/>
      <w:numFmt w:val="decimal"/>
      <w:start w:val="1"/>
    </w:lvl>
  </w:abstractNum>
  <w:abstractNum w:abstractNumId="68">
    <w:nsid w:val="3DB012B3"/>
    <w:multiLevelType w:val="hybridMultilevel"/>
    <w:lvl w:ilvl="0">
      <w:lvlJc w:val="left"/>
      <w:lvlText w:val="%1."/>
      <w:numFmt w:val="lowerLetter"/>
      <w:start w:val="1"/>
    </w:lvl>
  </w:abstractNum>
  <w:abstractNum w:abstractNumId="69">
    <w:nsid w:val="2708C9AF"/>
    <w:multiLevelType w:val="hybridMultilevel"/>
    <w:lvl w:ilvl="0">
      <w:lvlJc w:val="left"/>
      <w:lvlText w:val="%1."/>
      <w:numFmt w:val="lowerLetter"/>
      <w:start w:val="2"/>
    </w:lvl>
    <w:lvl w:ilvl="1">
      <w:lvlJc w:val="left"/>
      <w:lvlText w:val="•"/>
      <w:numFmt w:val="bullet"/>
      <w:start w:val="1"/>
    </w:lvl>
  </w:abstractNum>
  <w:abstractNum w:abstractNumId="70">
    <w:nsid w:val="5B25ACE2"/>
    <w:multiLevelType w:val="hybridMultilevel"/>
    <w:lvl w:ilvl="0">
      <w:lvlJc w:val="left"/>
      <w:lvlText w:val="%1."/>
      <w:numFmt w:val="lowerLetter"/>
      <w:start w:val="5"/>
    </w:lvl>
    <w:lvl w:ilvl="1">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1."/>
      <w:numFmt w:val="lowerLetter"/>
      <w:start w:val="1"/>
    </w:lvl>
    <w:lvl w:ilvl="1">
      <w:lvlJc w:val="left"/>
      <w:lvlText w:val="%2)"/>
      <w:numFmt w:val="decimal"/>
      <w:start w:val="1"/>
    </w:lvl>
  </w:abstractNum>
  <w:abstractNum w:abstractNumId="73">
    <w:nsid w:val="53B0A9E"/>
    <w:multiLevelType w:val="hybridMultilevel"/>
    <w:lvl w:ilvl="0">
      <w:lvlJc w:val="left"/>
      <w:lvlText w:val="%1."/>
      <w:numFmt w:val="lowerLetter"/>
      <w:start w:val="2"/>
    </w:lvl>
  </w:abstractNum>
  <w:abstractNum w:abstractNumId="74">
    <w:nsid w:val="34FD6B4F"/>
    <w:multiLevelType w:val="hybridMultilevel"/>
    <w:lvl w:ilvl="0">
      <w:lvlJc w:val="left"/>
      <w:lvlText w:val="%1."/>
      <w:numFmt w:val="lowerLetter"/>
      <w:start w:val="3"/>
    </w:lvl>
  </w:abstractNum>
  <w:abstractNum w:abstractNumId="75">
    <w:nsid w:val="5915FF32"/>
    <w:multiLevelType w:val="hybridMultilevel"/>
    <w:lvl w:ilvl="0">
      <w:lvlJc w:val="left"/>
      <w:lvlText w:val="%1)"/>
      <w:numFmt w:val="decimal"/>
      <w:start w:val="1"/>
    </w:lvl>
  </w:abstractNum>
  <w:abstractNum w:abstractNumId="76">
    <w:nsid w:val="56438D15"/>
    <w:multiLevelType w:val="hybridMultilevel"/>
    <w:lvl w:ilvl="0">
      <w:lvlJc w:val="left"/>
      <w:lvlText w:val="%1)"/>
      <w:numFmt w:val="decimal"/>
      <w:start w:val="2"/>
    </w:lvl>
  </w:abstractNum>
  <w:abstractNum w:abstractNumId="77">
    <w:nsid w:val="519E3149"/>
    <w:multiLevelType w:val="hybridMultilevel"/>
    <w:lvl w:ilvl="0">
      <w:lvlJc w:val="left"/>
      <w:lvlText w:val="%1)"/>
      <w:numFmt w:val="decimal"/>
      <w:start w:val="3"/>
    </w:lvl>
  </w:abstractNum>
  <w:abstractNum w:abstractNumId="78">
    <w:nsid w:val="2C6E4AFD"/>
    <w:multiLevelType w:val="hybridMultilevel"/>
    <w:lvl w:ilvl="0">
      <w:lvlJc w:val="left"/>
      <w:lvlText w:val="%1."/>
      <w:numFmt w:val="lowerLetter"/>
      <w:start w:val="4"/>
    </w:lvl>
    <w:lvl w:ilvl="1">
      <w:lvlJc w:val="left"/>
      <w:lvlText w:val="%2)"/>
      <w:numFmt w:val="decimal"/>
      <w:start w:val="1"/>
    </w:lvl>
  </w:abstractNum>
  <w:abstractNum w:abstractNumId="79">
    <w:nsid w:val="17A1B582"/>
    <w:multiLevelType w:val="hybridMultilevel"/>
    <w:lvl w:ilvl="0">
      <w:lvlJc w:val="left"/>
      <w:lvlText w:val="%1)"/>
      <w:numFmt w:val="decimal"/>
      <w:start w:val="2"/>
    </w:lvl>
  </w:abstractNum>
  <w:abstractNum w:abstractNumId="80">
    <w:nsid w:val="4DF72E4E"/>
    <w:multiLevelType w:val="hybridMultilevel"/>
    <w:lvl w:ilvl="0">
      <w:lvlJc w:val="left"/>
      <w:lvlText w:val="%1."/>
      <w:numFmt w:val="lowerLetter"/>
      <w:start w:val="6"/>
    </w:lvl>
  </w:abstractNum>
  <w:abstractNum w:abstractNumId="81">
    <w:nsid w:val="5046B5A9"/>
    <w:multiLevelType w:val="hybridMultilevel"/>
    <w:lvl w:ilvl="0">
      <w:lvlJc w:val="left"/>
      <w:lvlText w:val="%1."/>
      <w:numFmt w:val="lowerLetter"/>
      <w:start w:val="7"/>
    </w:lvl>
  </w:abstractNum>
  <w:abstractNum w:abstractNumId="82">
    <w:nsid w:val="5D888A08"/>
    <w:multiLevelType w:val="hybridMultilevel"/>
    <w:lvl w:ilvl="0">
      <w:lvlJc w:val="left"/>
      <w:lvlText w:val="%1."/>
      <w:numFmt w:val="lowerLetter"/>
      <w:start w:val="8"/>
    </w:lvl>
  </w:abstractNum>
  <w:abstractNum w:abstractNumId="83">
    <w:nsid w:val="2A082C70"/>
    <w:multiLevelType w:val="hybridMultilevel"/>
    <w:lvl w:ilvl="0">
      <w:lvlJc w:val="left"/>
      <w:lvlText w:val="%1."/>
      <w:numFmt w:val="lowerLetter"/>
      <w:start w:val="10"/>
    </w:lvl>
  </w:abstractNum>
  <w:abstractNum w:abstractNumId="84">
    <w:nsid w:val="5EC6AFD4"/>
    <w:multiLevelType w:val="hybridMultilevel"/>
    <w:lvl w:ilvl="0">
      <w:lvlJc w:val="left"/>
      <w:lvlText w:val="%1."/>
      <w:numFmt w:val="lowerLetter"/>
      <w:start w:val="11"/>
    </w:lvl>
  </w:abstractNum>
  <w:abstractNum w:abstractNumId="85">
    <w:nsid w:val="19E21BB2"/>
    <w:multiLevelType w:val="hybridMultilevel"/>
    <w:lvl w:ilvl="0">
      <w:lvlJc w:val="left"/>
      <w:lvlText w:val="%1."/>
      <w:numFmt w:val="lowerLetter"/>
      <w:start w:val="11"/>
    </w:lvl>
  </w:abstractNum>
  <w:abstractNum w:abstractNumId="86">
    <w:nsid w:val="75E0858A"/>
    <w:multiLevelType w:val="hybridMultilevel"/>
    <w:lvl w:ilvl="0">
      <w:lvlJc w:val="left"/>
      <w:lvlText w:val="%1."/>
      <w:numFmt w:val="lowerLetter"/>
      <w:start w:val="1"/>
    </w:lvl>
    <w:lvl w:ilvl="1">
      <w:lvlJc w:val="left"/>
      <w:lvlText w:val="%2)"/>
      <w:numFmt w:val="decimal"/>
      <w:start w:val="1"/>
    </w:lvl>
  </w:abstractNum>
  <w:abstractNum w:abstractNumId="87">
    <w:nsid w:val="57A61A29"/>
    <w:multiLevelType w:val="hybridMultilevel"/>
    <w:lvl w:ilvl="0">
      <w:lvlJc w:val="left"/>
      <w:lvlText w:val="%1."/>
      <w:numFmt w:val="lowerLetter"/>
      <w:start w:val="1"/>
    </w:lvl>
    <w:lvl w:ilvl="1">
      <w:lvlJc w:val="left"/>
      <w:lvlText w:val="%2)"/>
      <w:numFmt w:val="decimal"/>
      <w:start w:val="3"/>
    </w:lvl>
  </w:abstractNum>
  <w:abstractNum w:abstractNumId="88">
    <w:nsid w:val="5399C654"/>
    <w:multiLevelType w:val="hybridMultilevel"/>
    <w:lvl w:ilvl="0">
      <w:lvlJc w:val="left"/>
      <w:lvlText w:val="%1"/>
      <w:numFmt w:val="lowerLetter"/>
      <w:start w:val="1"/>
    </w:lvl>
    <w:lvl w:ilvl="1">
      <w:lvlJc w:val="left"/>
      <w:lvlText w:val="%2)"/>
      <w:numFmt w:val="decimal"/>
      <w:start w:val="1"/>
    </w:lvl>
  </w:abstractNum>
  <w:abstractNum w:abstractNumId="89">
    <w:nsid w:val="20EE1348"/>
    <w:multiLevelType w:val="hybridMultilevel"/>
    <w:lvl w:ilvl="0">
      <w:lvlJc w:val="left"/>
      <w:lvlText w:val="%1."/>
      <w:numFmt w:val="lowerLetter"/>
      <w:start w:val="2"/>
    </w:lvl>
  </w:abstractNum>
  <w:abstractNum w:abstractNumId="90">
    <w:nsid w:val="4427069A"/>
    <w:multiLevelType w:val="hybridMultilevel"/>
    <w:lvl w:ilvl="0">
      <w:lvlJc w:val="left"/>
      <w:lvlText w:val="%1."/>
      <w:numFmt w:val="lowerLetter"/>
      <w:start w:val="4"/>
    </w:lvl>
  </w:abstractNum>
  <w:abstractNum w:abstractNumId="91">
    <w:nsid w:val="B37E80A"/>
    <w:multiLevelType w:val="hybridMultilevel"/>
    <w:lvl w:ilvl="0">
      <w:lvlJc w:val="left"/>
      <w:lvlText w:val="%1."/>
      <w:numFmt w:val="lowerLetter"/>
      <w:start w:val="5"/>
    </w:lvl>
  </w:abstractNum>
  <w:abstractNum w:abstractNumId="92">
    <w:nsid w:val="2157F6BC"/>
    <w:multiLevelType w:val="hybridMultilevel"/>
    <w:lvl w:ilvl="0">
      <w:lvlJc w:val="left"/>
      <w:lvlText w:val="%1."/>
      <w:numFmt w:val="lowerLetter"/>
      <w:start w:val="6"/>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1."/>
      <w:numFmt w:val="lowerLetter"/>
      <w:start w:val="1"/>
    </w:lvl>
    <w:lvl w:ilvl="1">
      <w:lvlJc w:val="left"/>
      <w:lvlText w:val="-"/>
      <w:numFmt w:val="bullet"/>
      <w:start w:val="1"/>
    </w:lvl>
  </w:abstractNum>
  <w:abstractNum w:abstractNumId="95">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6">
    <w:nsid w:val="E3E47A8"/>
    <w:multiLevelType w:val="hybridMultilevel"/>
    <w:lvl w:ilvl="0">
      <w:lvlJc w:val="left"/>
      <w:lvlText w:val="%1."/>
      <w:numFmt w:val="lowerLetter"/>
      <w:start w:val="1"/>
    </w:lvl>
    <w:lvl w:ilvl="1">
      <w:lvlJc w:val="left"/>
      <w:lvlText w:val="%2)"/>
      <w:numFmt w:val="decimal"/>
      <w:start w:val="3"/>
    </w:lvl>
  </w:abstractNum>
  <w:abstractNum w:abstractNumId="97">
    <w:nsid w:val="2E48F044"/>
    <w:multiLevelType w:val="hybridMultilevel"/>
    <w:lvl w:ilvl="0">
      <w:lvlJc w:val="left"/>
      <w:lvlText w:val="%1)"/>
      <w:numFmt w:val="decimal"/>
      <w:start w:val="5"/>
    </w:lvl>
  </w:abstractNum>
  <w:abstractNum w:abstractNumId="98">
    <w:nsid w:val="49D0FEAC"/>
    <w:multiLevelType w:val="hybridMultilevel"/>
    <w:lvl w:ilvl="0">
      <w:lvlJc w:val="left"/>
      <w:lvlText w:val="%1."/>
      <w:numFmt w:val="lowerLetter"/>
      <w:start w:val="2"/>
    </w:lvl>
    <w:lvl w:ilvl="1">
      <w:lvlJc w:val="left"/>
      <w:lvlText w:val="%2)"/>
      <w:numFmt w:val="decimal"/>
      <w:start w:val="1"/>
    </w:lvl>
  </w:abstractNum>
  <w:abstractNum w:abstractNumId="99">
    <w:nsid w:val="4BEE5A5B"/>
    <w:multiLevelType w:val="hybridMultilevel"/>
    <w:lvl w:ilvl="0">
      <w:lvlJc w:val="left"/>
      <w:lvlText w:val="%1."/>
      <w:numFmt w:val="lowerLetter"/>
      <w:start w:val="2"/>
    </w:lvl>
    <w:lvl w:ilvl="1">
      <w:lvlJc w:val="left"/>
      <w:lvlText w:val="%2)"/>
      <w:numFmt w:val="decimal"/>
      <w:start w:val="4"/>
    </w:lvl>
  </w:abstractNum>
  <w:abstractNum w:abstractNumId="100">
    <w:nsid w:val="5551B9F3"/>
    <w:multiLevelType w:val="hybridMultilevel"/>
    <w:lvl w:ilvl="0">
      <w:lvlJc w:val="left"/>
      <w:lvlText w:val="%1."/>
      <w:numFmt w:val="lowerLetter"/>
      <w:start w:val="1"/>
    </w:lvl>
    <w:lvl w:ilvl="1">
      <w:lvlJc w:val="left"/>
      <w:lvlText w:val="•"/>
      <w:numFmt w:val="bullet"/>
      <w:start w:val="1"/>
    </w:lvl>
  </w:abstractNum>
  <w:abstractNum w:abstractNumId="101">
    <w:nsid w:val="24F6AB8E"/>
    <w:multiLevelType w:val="hybridMultilevel"/>
    <w:lvl w:ilvl="0">
      <w:lvlJc w:val="left"/>
      <w:lvlText w:val="%1."/>
      <w:numFmt w:val="lowerLetter"/>
      <w:start w:val="3"/>
    </w:lvl>
  </w:abstractNum>
  <w:abstractNum w:abstractNumId="102">
    <w:nsid w:val="634C574C"/>
    <w:multiLevelType w:val="hybridMultilevel"/>
    <w:lvl w:ilvl="0">
      <w:lvlJc w:val="left"/>
      <w:lvlText w:val="%1."/>
      <w:numFmt w:val="lowerLetter"/>
      <w:start w:val="4"/>
    </w:lvl>
  </w:abstractNum>
  <w:abstractNum w:abstractNumId="103">
    <w:nsid w:val="24E99DD7"/>
    <w:multiLevelType w:val="hybridMultilevel"/>
    <w:lvl w:ilvl="0">
      <w:lvlJc w:val="left"/>
      <w:lvlText w:val="%1."/>
      <w:numFmt w:val="lowerLetter"/>
      <w:start w:val="5"/>
    </w:lvl>
  </w:abstractNum>
  <w:abstractNum w:abstractNumId="104">
    <w:nsid w:val="2A31B62D"/>
    <w:multiLevelType w:val="hybridMultilevel"/>
    <w:lvl w:ilvl="0">
      <w:lvlJc w:val="left"/>
      <w:lvlText w:val="%1."/>
      <w:numFmt w:val="lowerLetter"/>
      <w:start w:val="1"/>
    </w:lvl>
    <w:lvl w:ilvl="1">
      <w:lvlJc w:val="left"/>
      <w:lvlText w:val="☐"/>
      <w:numFmt w:val="bullet"/>
      <w:start w:val="1"/>
    </w:lvl>
  </w:abstractNum>
  <w:abstractNum w:abstractNumId="105">
    <w:nsid w:val="1849C29B"/>
    <w:multiLevelType w:val="hybridMultilevel"/>
    <w:lvl w:ilvl="0">
      <w:lvlJc w:val="left"/>
      <w:lvlText w:val="%1."/>
      <w:numFmt w:val="lowerLetter"/>
      <w:start w:val="2"/>
    </w:lvl>
  </w:abstractNum>
  <w:abstractNum w:abstractNumId="106">
    <w:nsid w:val="7DFF9D09"/>
    <w:multiLevelType w:val="hybridMultilevel"/>
    <w:lvl w:ilvl="0">
      <w:lvlJc w:val="left"/>
      <w:lvlText w:val="%1."/>
      <w:numFmt w:val="lowerLetter"/>
      <w:start w:val="3"/>
    </w:lvl>
  </w:abstractNum>
  <w:abstractNum w:abstractNumId="107">
    <w:nsid w:val="754342"/>
    <w:multiLevelType w:val="hybridMultilevel"/>
    <w:lvl w:ilvl="0">
      <w:lvlJc w:val="left"/>
      <w:lvlText w:val="(%1)"/>
      <w:numFmt w:val="lowerLetter"/>
      <w:start w:val="1"/>
    </w:lvl>
  </w:abstractNum>
  <w:abstractNum w:abstractNumId="108">
    <w:nsid w:val="69E7F3E5"/>
    <w:multiLevelType w:val="hybridMultilevel"/>
    <w:lvl w:ilvl="0">
      <w:lvlJc w:val="left"/>
      <w:lvlText w:val="%1."/>
      <w:numFmt w:val="lowerLetter"/>
      <w:start w:val="4"/>
    </w:lvl>
  </w:abstractNum>
  <w:abstractNum w:abstractNumId="109">
    <w:nsid w:val="2A6DE806"/>
    <w:multiLevelType w:val="hybridMultilevel"/>
    <w:lvl w:ilvl="0">
      <w:lvlJc w:val="left"/>
      <w:lvlText w:val="%1."/>
      <w:numFmt w:val="lowerLetter"/>
      <w:start w:val="5"/>
    </w:lvl>
  </w:abstractNum>
  <w:abstractNum w:abstractNumId="110">
    <w:nsid w:val="1816F8C4"/>
    <w:multiLevelType w:val="hybridMultilevel"/>
    <w:lvl w:ilvl="0">
      <w:lvlJc w:val="left"/>
      <w:lvlText w:val="%1."/>
      <w:numFmt w:val="lowerLetter"/>
      <w:start w:val="7"/>
    </w:lvl>
  </w:abstractNum>
  <w:abstractNum w:abstractNumId="111">
    <w:nsid w:val="37DF2233"/>
    <w:multiLevelType w:val="hybridMultilevel"/>
    <w:lvl w:ilvl="0">
      <w:lvlJc w:val="left"/>
      <w:lvlText w:val="%1."/>
      <w:numFmt w:val="lowerLetter"/>
      <w:start w:val="7"/>
    </w:lvl>
  </w:abstractNum>
  <w:abstractNum w:abstractNumId="112">
    <w:nsid w:val="7AB49DAF"/>
    <w:multiLevelType w:val="hybridMultilevel"/>
    <w:lvl w:ilvl="0">
      <w:lvlJc w:val="left"/>
      <w:lvlText w:val="•"/>
      <w:numFmt w:val="bullet"/>
      <w:start w:val="1"/>
    </w:lvl>
  </w:abstractNum>
  <w:abstractNum w:abstractNumId="113">
    <w:nsid w:val="759F82CD"/>
    <w:multiLevelType w:val="hybridMultilevel"/>
    <w:lvl w:ilvl="0">
      <w:lvlJc w:val="left"/>
      <w:lvlText w:val="*"/>
      <w:numFmt w:val="bullet"/>
      <w:start w:val="1"/>
    </w:lvl>
  </w:abstractNum>
  <w:abstractNum w:abstractNumId="114">
    <w:nsid w:val="61E74EA3"/>
    <w:multiLevelType w:val="hybridMultilevel"/>
    <w:lvl w:ilvl="0">
      <w:lvlJc w:val="left"/>
      <w:lvlText w:val="%1."/>
      <w:numFmt w:val="lowerLetter"/>
      <w:start w:val="1"/>
    </w:lvl>
  </w:abstractNum>
  <w:abstractNum w:abstractNumId="115">
    <w:nsid w:val="597B4D84"/>
    <w:multiLevelType w:val="hybridMultilevel"/>
    <w:lvl w:ilvl="0">
      <w:lvlJc w:val="left"/>
      <w:lvlText w:val="%1."/>
      <w:numFmt w:val="lowerLetter"/>
      <w:start w:val="2"/>
    </w:lvl>
  </w:abstractNum>
  <w:abstractNum w:abstractNumId="116">
    <w:nsid w:val="F819E7F"/>
    <w:multiLevelType w:val="hybridMultilevel"/>
    <w:lvl w:ilvl="0">
      <w:lvlJc w:val="left"/>
      <w:lvlText w:val="*"/>
      <w:numFmt w:val="bullet"/>
      <w:start w:val="1"/>
    </w:lvl>
  </w:abstractNum>
  <w:abstractNum w:abstractNumId="117">
    <w:nsid w:val="57C7D42D"/>
    <w:multiLevelType w:val="hybridMultilevel"/>
    <w:lvl w:ilvl="0">
      <w:lvlJc w:val="left"/>
      <w:lvlText w:val="%1."/>
      <w:numFmt w:val="decimal"/>
      <w:start w:val="1"/>
    </w:lvl>
  </w:abstractNum>
  <w:abstractNum w:abstractNumId="118">
    <w:nsid w:val="312167AD"/>
    <w:multiLevelType w:val="hybridMultilevel"/>
    <w:lvl w:ilvl="0">
      <w:lvlJc w:val="left"/>
      <w:lvlText w:val="%1."/>
      <w:numFmt w:val="decimal"/>
      <w:start w:val="2"/>
    </w:lvl>
  </w:abstractNum>
  <w:abstractNum w:abstractNumId="119">
    <w:nsid w:val="631B64D4"/>
    <w:multiLevelType w:val="hybridMultilevel"/>
    <w:lvl w:ilvl="0">
      <w:lvlJc w:val="left"/>
      <w:lvlText w:val="%1."/>
      <w:numFmt w:val="upperLetter"/>
      <w:start w:val="1"/>
    </w:lvl>
  </w:abstractNum>
  <w:abstractNum w:abstractNumId="120">
    <w:nsid w:val="78B5E776"/>
    <w:multiLevelType w:val="hybridMultilevel"/>
    <w:lvl w:ilvl="0">
      <w:lvlJc w:val="left"/>
      <w:lvlText w:val="%1."/>
      <w:numFmt w:val="decimal"/>
      <w:start w:val="1"/>
    </w:lvl>
  </w:abstractNum>
  <w:abstractNum w:abstractNumId="121">
    <w:nsid w:val="75486E47"/>
    <w:multiLevelType w:val="hybridMultilevel"/>
    <w:lvl w:ilvl="0">
      <w:lvlJc w:val="left"/>
      <w:lvlText w:val="%1."/>
      <w:numFmt w:val="decimal"/>
      <w:start w:val="4"/>
    </w:lvl>
  </w:abstractNum>
  <w:abstractNum w:abstractNumId="122">
    <w:nsid w:val="6E534CDE"/>
    <w:multiLevelType w:val="hybridMultilevel"/>
    <w:lvl w:ilvl="0">
      <w:lvlJc w:val="left"/>
      <w:lvlText w:val="%1."/>
      <w:numFmt w:val="upperLetter"/>
      <w:start w:val="3"/>
    </w:lvl>
  </w:abstractNum>
  <w:abstractNum w:abstractNumId="123">
    <w:nsid w:val="1A0DDE32"/>
    <w:multiLevelType w:val="hybridMultilevel"/>
    <w:lvl w:ilvl="0">
      <w:lvlJc w:val="left"/>
      <w:lvlText w:val="%1."/>
      <w:numFmt w:val="decimal"/>
      <w:start w:val="1"/>
    </w:lvl>
  </w:abstractNum>
  <w:abstractNum w:abstractNumId="124">
    <w:nsid w:val="65968C1C"/>
    <w:multiLevelType w:val="hybridMultilevel"/>
    <w:lvl w:ilvl="0">
      <w:lvlJc w:val="left"/>
      <w:lvlText w:val="(%1)"/>
      <w:numFmt w:val="lowerRoman"/>
      <w:start w:val="1"/>
    </w:lvl>
  </w:abstractNum>
  <w:abstractNum w:abstractNumId="125">
    <w:nsid w:val="46263DEC"/>
    <w:multiLevelType w:val="hybridMultilevel"/>
    <w:lvl w:ilvl="0">
      <w:lvlJc w:val="left"/>
      <w:lvlText w:val="%1."/>
      <w:numFmt w:val="decimal"/>
      <w:start w:val="2"/>
    </w:lvl>
  </w:abstractNum>
  <w:abstractNum w:abstractNumId="126">
    <w:nsid w:val="260D8C4A"/>
    <w:multiLevelType w:val="hybridMultilevel"/>
    <w:lvl w:ilvl="0">
      <w:lvlJc w:val="left"/>
      <w:lvlText w:val="%1."/>
      <w:numFmt w:val="decimal"/>
      <w:start w:val="4"/>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decimal"/>
      <w:start w:val="8"/>
    </w:lvl>
  </w:abstractNum>
  <w:abstractNum w:abstractNumId="129">
    <w:nsid w:val="6FDE8AF6"/>
    <w:multiLevelType w:val="hybridMultilevel"/>
    <w:lvl w:ilvl="0">
      <w:lvlJc w:val="left"/>
      <w:lvlText w:val="%1."/>
      <w:numFmt w:val="upperLetter"/>
      <w:start w:val="1"/>
    </w:lvl>
  </w:abstractNum>
  <w:abstractNum w:abstractNumId="130">
    <w:nsid w:val="3FC32E20"/>
    <w:multiLevelType w:val="hybridMultilevel"/>
    <w:lvl w:ilvl="0">
      <w:lvlJc w:val="left"/>
      <w:lvlText w:val="%1."/>
      <w:numFmt w:val="decimal"/>
      <w:start w:val="3"/>
    </w:lvl>
  </w:abstractNum>
  <w:abstractNum w:abstractNumId="131">
    <w:nsid w:val="49C0E823"/>
    <w:multiLevelType w:val="hybridMultilevel"/>
    <w:lvl w:ilvl="0">
      <w:lvlJc w:val="left"/>
      <w:lvlText w:val="%1."/>
      <w:numFmt w:val="upperLetter"/>
      <w:start w:val="2"/>
    </w:lvl>
  </w:abstractNum>
  <w:abstractNum w:abstractNumId="132">
    <w:nsid w:val="14D53685"/>
    <w:multiLevelType w:val="hybridMultilevel"/>
    <w:lvl w:ilvl="0">
      <w:lvlJc w:val="left"/>
      <w:lvlText w:val="%1."/>
      <w:numFmt w:val="decimal"/>
      <w:start w:val="1"/>
    </w:lvl>
  </w:abstractNum>
  <w:abstractNum w:abstractNumId="133">
    <w:nsid w:val="230F856C"/>
    <w:multiLevelType w:val="hybridMultilevel"/>
    <w:lvl w:ilvl="0">
      <w:lvlJc w:val="left"/>
      <w:lvlText w:val="%1."/>
      <w:numFmt w:val="decimal"/>
      <w:start w:val="6"/>
    </w:lvl>
  </w:abstractNum>
  <w:abstractNum w:abstractNumId="134">
    <w:nsid w:val="6EAA85FB"/>
    <w:multiLevelType w:val="hybridMultilevel"/>
    <w:lvl w:ilvl="0">
      <w:lvlJc w:val="left"/>
      <w:lvlText w:val="%1."/>
      <w:numFmt w:val="decimal"/>
      <w:start w:val="9"/>
    </w:lvl>
  </w:abstractNum>
  <w:abstractNum w:abstractNumId="135">
    <w:nsid w:val="3F06ECB2"/>
    <w:multiLevelType w:val="hybridMultilevel"/>
    <w:lvl w:ilvl="0">
      <w:lvlJc w:val="left"/>
      <w:lvlText w:val="%1."/>
      <w:numFmt w:val="upperLetter"/>
      <w:start w:val="3"/>
    </w:lvl>
  </w:abstractNum>
  <w:abstractNum w:abstractNumId="136">
    <w:nsid w:val="3B594807"/>
    <w:multiLevelType w:val="hybridMultilevel"/>
    <w:lvl w:ilvl="0">
      <w:lvlJc w:val="left"/>
      <w:lvlText w:val="(%1)"/>
      <w:numFmt w:val="lowerRoman"/>
      <w:start w:val="1"/>
    </w:lvl>
  </w:abstractNum>
  <w:abstractNum w:abstractNumId="137">
    <w:nsid w:val="6CAA2304"/>
    <w:multiLevelType w:val="hybridMultilevel"/>
    <w:lvl w:ilvl="0">
      <w:lvlJc w:val="left"/>
      <w:lvlText w:val="(%1)"/>
      <w:numFmt w:val="lowerRoman"/>
      <w:start w:val="4"/>
    </w:lvl>
  </w:abstractNum>
  <w:abstractNum w:abstractNumId="138">
    <w:nsid w:val="3F7C2FF4"/>
    <w:multiLevelType w:val="hybridMultilevel"/>
    <w:lvl w:ilvl="0">
      <w:lvlJc w:val="left"/>
      <w:lvlText w:val="%1."/>
      <w:numFmt w:val="decimal"/>
      <w:start w:val="7"/>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upperLetter"/>
      <w:start w:val="1"/>
    </w:lvl>
    <w:lvl w:ilvl="1">
      <w:lvlJc w:val="left"/>
      <w:lvlText w:val="%2."/>
      <w:numFmt w:val="decimal"/>
      <w:start w:val="8"/>
    </w:lvl>
  </w:abstractNum>
  <w:abstractNum w:abstractNumId="141">
    <w:nsid w:val="579328B9"/>
    <w:multiLevelType w:val="hybridMultilevel"/>
    <w:lvl w:ilvl="0">
      <w:lvlJc w:val="left"/>
      <w:lvlText w:val="(%1)"/>
      <w:numFmt w:val="upperLetter"/>
      <w:start w:val="2"/>
    </w:lvl>
    <w:lvl w:ilvl="1">
      <w:lvlJc w:val="left"/>
      <w:lvlText w:val="%2"/>
      <w:numFmt w:val="decimal"/>
      <w:start w:val="1"/>
    </w:lvl>
  </w:abstractNum>
  <w:abstractNum w:abstractNumId="142">
    <w:nsid w:val="5D205E20"/>
    <w:multiLevelType w:val="hybridMultilevel"/>
    <w:lvl w:ilvl="0">
      <w:lvlJc w:val="left"/>
      <w:lvlText w:val="%1."/>
      <w:numFmt w:val="decimal"/>
      <w:start w:val="10"/>
    </w:lvl>
  </w:abstractNum>
  <w:abstractNum w:abstractNumId="143">
    <w:nsid w:val="11CCA8BA"/>
    <w:multiLevelType w:val="hybridMultilevel"/>
    <w:lvl w:ilvl="0">
      <w:lvlJc w:val="left"/>
      <w:lvlText w:val="1"/>
      <w:numFmt w:val="bullet"/>
      <w:start w:val="1"/>
    </w:lvl>
  </w:abstractNum>
  <w:abstractNum w:abstractNumId="144">
    <w:nsid w:val="4D32AB86"/>
    <w:multiLevelType w:val="hybridMultilevel"/>
    <w:lvl w:ilvl="0">
      <w:lvlJc w:val="left"/>
      <w:lvlText w:val="%1."/>
      <w:numFmt w:val="upperLetter"/>
      <w:start w:val="9"/>
    </w:lvl>
  </w:abstractNum>
  <w:abstractNum w:abstractNumId="145">
    <w:nsid w:val="3F07ACC3"/>
    <w:multiLevelType w:val="hybridMultilevel"/>
    <w:lvl w:ilvl="0">
      <w:lvlJc w:val="left"/>
      <w:lvlText w:val="%1."/>
      <w:numFmt w:val="upperLetter"/>
      <w:start w:val="35"/>
    </w:lvl>
  </w:abstractNum>
  <w:abstractNum w:abstractNumId="146">
    <w:nsid w:val="6B47F63E"/>
    <w:multiLevelType w:val="hybridMultilevel"/>
    <w:lvl w:ilvl="0">
      <w:lvlJc w:val="left"/>
      <w:lvlText w:val="%1."/>
      <w:numFmt w:val="upperLetter"/>
      <w:start w:val="61"/>
    </w:lvl>
  </w:abstractNum>
  <w:abstractNum w:abstractNumId="147">
    <w:nsid w:val="5CB44A05"/>
    <w:multiLevelType w:val="hybridMultilevel"/>
    <w:lvl w:ilvl="0">
      <w:lvlJc w:val="left"/>
      <w:lvlText w:val="•"/>
      <w:numFmt w:val="bullet"/>
      <w:start w:val="1"/>
    </w:lvl>
  </w:abstractNum>
  <w:abstractNum w:abstractNumId="148">
    <w:nsid w:val="16CF80F1"/>
    <w:multiLevelType w:val="hybridMultilevel"/>
    <w:lvl w:ilvl="0">
      <w:lvlJc w:val="left"/>
      <w:lvlText w:val="%1."/>
      <w:numFmt w:val="upperLetter"/>
      <w:start w:val="1"/>
    </w:lvl>
  </w:abstractNum>
  <w:abstractNum w:abstractNumId="149">
    <w:nsid w:val="1C695DEC"/>
    <w:multiLevelType w:val="hybridMultilevel"/>
    <w:lvl w:ilvl="0">
      <w:lvlJc w:val="left"/>
      <w:lvlText w:val="%1."/>
      <w:numFmt w:val="upperLetter"/>
      <w:start w:val="2"/>
    </w:lvl>
  </w:abstractNum>
  <w:abstractNum w:abstractNumId="150">
    <w:nsid w:val="3FCFAED9"/>
    <w:multiLevelType w:val="hybridMultilevel"/>
    <w:lvl w:ilvl="0">
      <w:lvlJc w:val="left"/>
      <w:lvlText w:val="%1."/>
      <w:numFmt w:val="upperLetter"/>
      <w:start w:val="3"/>
    </w:lvl>
  </w:abstractNum>
  <w:abstractNum w:abstractNumId="151">
    <w:nsid w:val="F856867"/>
    <w:multiLevelType w:val="hybridMultilevel"/>
    <w:lvl w:ilvl="0">
      <w:lvlJc w:val="left"/>
      <w:lvlText w:val="%1."/>
      <w:numFmt w:val="upperLetter"/>
      <w:start w:val="4"/>
    </w:lvl>
  </w:abstractNum>
  <w:abstractNum w:abstractNumId="152">
    <w:nsid w:val="11B1CC33"/>
    <w:multiLevelType w:val="hybridMultilevel"/>
    <w:lvl w:ilvl="0">
      <w:lvlJc w:val="left"/>
      <w:lvlText w:val="%1."/>
      <w:numFmt w:val="upperLetter"/>
      <w:start w:val="5"/>
    </w:lvl>
  </w:abstractNum>
  <w:abstractNum w:abstractNumId="153">
    <w:nsid w:val="2E22FBB7"/>
    <w:multiLevelType w:val="hybridMultilevel"/>
    <w:lvl w:ilvl="0">
      <w:lvlJc w:val="left"/>
      <w:lvlText w:val="•"/>
      <w:numFmt w:val="bullet"/>
      <w:start w:val="1"/>
    </w:lvl>
  </w:abstractNum>
  <w:abstractNum w:abstractNumId="154">
    <w:nsid w:val="29934699"/>
    <w:multiLevelType w:val="hybridMultilevel"/>
    <w:lvl w:ilvl="0">
      <w:lvlJc w:val="left"/>
      <w:lvlText w:val="•"/>
      <w:numFmt w:val="bullet"/>
      <w:start w:val="1"/>
    </w:lvl>
  </w:abstractNum>
  <w:abstractNum w:abstractNumId="155">
    <w:nsid w:val="77485850"/>
    <w:multiLevelType w:val="hybridMultilevel"/>
    <w:lvl w:ilvl="0">
      <w:lvlJc w:val="left"/>
      <w:lvlText w:val="%1."/>
      <w:numFmt w:val="upperLetter"/>
      <w:start w:val="6"/>
    </w:lvl>
  </w:abstractNum>
  <w:abstractNum w:abstractNumId="156">
    <w:nsid w:val="744939A3"/>
    <w:multiLevelType w:val="hybridMultilevel"/>
    <w:lvl w:ilvl="0">
      <w:lvlJc w:val="left"/>
      <w:lvlText w:val="%1."/>
      <w:numFmt w:val="upperLetter"/>
      <w:start w:val="7"/>
    </w:lvl>
  </w:abstractNum>
  <w:abstractNum w:abstractNumId="157">
    <w:nsid w:val="4FA0D2E3"/>
    <w:multiLevelType w:val="hybridMultilevel"/>
    <w:lvl w:ilvl="0">
      <w:lvlJc w:val="left"/>
      <w:lvlText w:val="%1."/>
      <w:numFmt w:val="upperLetter"/>
      <w:start w:val="8"/>
    </w:lvl>
  </w:abstractNum>
  <w:abstractNum w:abstractNumId="158">
    <w:nsid w:val="6B1D2C14"/>
    <w:multiLevelType w:val="hybridMultilevel"/>
    <w:lvl w:ilvl="0">
      <w:lvlJc w:val="left"/>
      <w:lvlText w:val="%1."/>
      <w:numFmt w:val="upperLetter"/>
      <w:start w:val="22"/>
    </w:lvl>
  </w:abstractNum>
  <w:abstractNum w:abstractNumId="159">
    <w:nsid w:val="68B867D3"/>
    <w:multiLevelType w:val="hybridMultilevel"/>
    <w:lvl w:ilvl="0">
      <w:lvlJc w:val="left"/>
      <w:lvlText w:val="%1."/>
      <w:numFmt w:val="upperLetter"/>
      <w:start w:val="1"/>
    </w:lvl>
  </w:abstractNum>
  <w:abstractNum w:abstractNumId="160">
    <w:nsid w:val="3F7F5DD9"/>
    <w:multiLevelType w:val="hybridMultilevel"/>
    <w:lvl w:ilvl="0">
      <w:lvlJc w:val="left"/>
      <w:lvlText w:val="%1."/>
      <w:numFmt w:val="upperLetter"/>
      <w:start w:val="2"/>
    </w:lvl>
  </w:abstractNum>
  <w:abstractNum w:abstractNumId="161">
    <w:nsid w:val="2AE05A34"/>
    <w:multiLevelType w:val="hybridMultilevel"/>
    <w:lvl w:ilvl="0">
      <w:lvlJc w:val="left"/>
      <w:lvlText w:val="%1."/>
      <w:numFmt w:val="upperLetter"/>
      <w:start w:val="3"/>
    </w:lvl>
  </w:abstractNum>
  <w:abstractNum w:abstractNumId="162">
    <w:nsid w:val="32794FF7"/>
    <w:multiLevelType w:val="hybridMultilevel"/>
    <w:lvl w:ilvl="0">
      <w:lvlJc w:val="left"/>
      <w:lvlText w:val="%1."/>
      <w:numFmt w:val="upperLetter"/>
      <w:start w:val="4"/>
    </w:lvl>
  </w:abstractNum>
  <w:abstractNum w:abstractNumId="163">
    <w:nsid w:val="5454945E"/>
    <w:multiLevelType w:val="hybridMultilevel"/>
    <w:lvl w:ilvl="0">
      <w:lvlJc w:val="left"/>
      <w:lvlText w:val="%1."/>
      <w:numFmt w:val="decimal"/>
      <w:start w:val="2"/>
    </w:lvl>
  </w:abstractNum>
  <w:abstractNum w:abstractNumId="164">
    <w:nsid w:val="4DEFDFA0"/>
    <w:multiLevelType w:val="hybridMultilevel"/>
    <w:lvl w:ilvl="0">
      <w:lvlJc w:val="left"/>
      <w:lvlText w:val="%1."/>
      <w:numFmt w:val="upperLetter"/>
      <w:start w:val="1"/>
    </w:lvl>
  </w:abstractNum>
  <w:abstractNum w:abstractNumId="165">
    <w:nsid w:val="2123D5F2"/>
    <w:multiLevelType w:val="hybridMultilevel"/>
    <w:lvl w:ilvl="0">
      <w:lvlJc w:val="left"/>
      <w:lvlText w:val="%1."/>
      <w:numFmt w:val="upperLetter"/>
      <w:start w:val="2"/>
    </w:lvl>
  </w:abstractNum>
  <w:abstractNum w:abstractNumId="166">
    <w:nsid w:val="135B8110"/>
    <w:multiLevelType w:val="hybridMultilevel"/>
    <w:lvl w:ilvl="0">
      <w:lvlJc w:val="left"/>
      <w:lvlText w:val="%1."/>
      <w:numFmt w:val="upperLetter"/>
      <w:start w:val="3"/>
    </w:lvl>
  </w:abstractNum>
  <w:abstractNum w:abstractNumId="167">
    <w:nsid w:val="94927A8"/>
    <w:multiLevelType w:val="hybridMultilevel"/>
    <w:lvl w:ilvl="0">
      <w:lvlJc w:val="left"/>
      <w:lvlText w:val="%1."/>
      <w:numFmt w:val="upperLetter"/>
      <w:start w:val="4"/>
    </w:lvl>
  </w:abstractNum>
  <w:abstractNum w:abstractNumId="168">
    <w:nsid w:val="DCDF8F6"/>
    <w:multiLevelType w:val="hybridMultilevel"/>
    <w:lvl w:ilvl="0">
      <w:lvlJc w:val="left"/>
      <w:lvlText w:val="%1."/>
      <w:numFmt w:val="upperLetter"/>
      <w:start w:val="5"/>
    </w:lvl>
  </w:abstractNum>
  <w:abstractNum w:abstractNumId="169">
    <w:nsid w:val="52D7B105"/>
    <w:multiLevelType w:val="hybridMultilevel"/>
    <w:lvl w:ilvl="0">
      <w:lvlJc w:val="left"/>
      <w:lvlText w:val="%1."/>
      <w:numFmt w:val="upperLetter"/>
      <w:start w:val="6"/>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jpe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jpe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124" Type="http://schemas.openxmlformats.org/officeDocument/2006/relationships/hyperlink" Target="https://www.sec.gov/Archives/edgar/data/1849396/000117891325000697/exhibit_1-1.htm" TargetMode="External"/><Relationship Id="rId125" Type="http://schemas.openxmlformats.org/officeDocument/2006/relationships/hyperlink" Target="https://www.sec.gov/Archives/edgar/data/1849396/000117891325000507/zk2532708.htm" TargetMode="External"/><Relationship Id="rId126" Type="http://schemas.openxmlformats.org/officeDocument/2006/relationships/hyperlink" Target="https://www.sec.gov/Archives/edgar/data/1849396/000119312521171330/d50431dex101.htm" TargetMode="External"/><Relationship Id="rId127" Type="http://schemas.openxmlformats.org/officeDocument/2006/relationships/hyperlink" Target="https://www.sec.gov/Archives/edgar/data/1849396/000117891325000697/exhibit_4-2.htm" TargetMode="External"/><Relationship Id="rId128" Type="http://schemas.openxmlformats.org/officeDocument/2006/relationships/hyperlink" Target="https://www.sec.gov/Archives/edgar/data/1849396/000117891325000697/exhibit_4-3.htm" TargetMode="External"/><Relationship Id="rId129" Type="http://schemas.openxmlformats.org/officeDocument/2006/relationships/hyperlink" Target="https://www.sec.gov/Archives/edgar/data/1849396/000117891325000697/exhibit_4-4.htm" TargetMode="External"/><Relationship Id="rId130" Type="http://schemas.openxmlformats.org/officeDocument/2006/relationships/hyperlink" Target="https://www.sec.gov/Archives/edgar/data/1849396/000117891323000869/exhibit_4-6.htm" TargetMode="External"/><Relationship Id="rId131" Type="http://schemas.openxmlformats.org/officeDocument/2006/relationships/hyperlink" Target="https://www.sec.gov/Archives/edgar/data/1849396/000117891324000839/exhibit_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2026-03-04T07:55:55Z</dcterms:created>
  <dcterms:modified xsi:type="dcterms:W3CDTF">2026-03-04T07:55:55Z</dcterms:modified>
</cp:coreProperties>
</file>