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>
          <w:bdr w:val="single" w:sz="24" w:space="1" w:color="000000"/>
        </w:rPr>
      </w:pPr>
      <w:bookmarkStart w:id="0" w:name="zk2636184.htm"/>
      <w:bookmarkStart w:id="1" w:name="kszk2636184"/>
      <w:bookmarkEnd w:id="0"/>
      <w:bookmarkEnd w:id="1"/>
      <w:r>
        <w:rPr>
          <w:bdr w:val="single" w:sz="24" w:space="1" w:color="000000"/>
        </w:rPr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UNITED STATES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SECURITIES AND EXCHANGE COMMISSION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FORM 6-K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/>
          <w:sz w:val="20"/>
        </w:rPr>
        <w:t>Report of Foreign Private Issuer Pursuant to Rule 13</w:t>
      </w: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a</w:t>
      </w:r>
      <w:r>
        <w:rPr>
          <w:rFonts w:ascii="Times New Roman;Times;Serif" w:hAnsi="Times New Roman;Times;Serif"/>
          <w:b/>
          <w:i w:val="false"/>
          <w:caps/>
          <w:sz w:val="20"/>
        </w:rPr>
        <w:t xml:space="preserve">-16 or </w:t>
      </w: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15d</w:t>
      </w:r>
      <w:r>
        <w:rPr>
          <w:rFonts w:ascii="Times New Roman;Times;Serif" w:hAnsi="Times New Roman;Times;Serif"/>
          <w:b/>
          <w:i w:val="false"/>
          <w:caps/>
          <w:sz w:val="20"/>
        </w:rPr>
        <w:t>-16 of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/>
          <w:sz w:val="20"/>
        </w:rPr>
      </w:pPr>
      <w:r>
        <w:rPr>
          <w:rFonts w:ascii="Times New Roman;Times;Serif" w:hAnsi="Times New Roman;Times;Serif"/>
          <w:b/>
          <w:i w:val="false"/>
          <w:caps/>
          <w:sz w:val="20"/>
        </w:rPr>
        <w:t>the Securities Exchange Act of 1934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 the Month of September 2026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Commission File Number 001-40504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Nexxen International Ltd.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(Translation of registrant’s name into English)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82 Yigal Alon Street, Tel Aviv 6789124, Israel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(Address of principal executive office)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Form 20-F or Form 40-F.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Form 20-F ☒</w:t>
        <w:tab/>
        <w:t>Form 40-F ☐</w:t>
      </w:r>
    </w:p>
    <w:p>
      <w:pPr>
        <w:pStyle w:val="TextBody"/>
        <w:bidi w:val="0"/>
        <w:spacing w:before="0" w:after="0"/>
        <w:ind w:left="0" w:right="0" w:hanging="993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Yes ☐</w:t>
        <w:tab/>
        <w:t>No ☒</w:t>
      </w:r>
    </w:p>
    <w:p>
      <w:pPr>
        <w:pStyle w:val="TextBody"/>
        <w:bidi w:val="0"/>
        <w:spacing w:before="0" w:after="0"/>
        <w:ind w:left="0" w:right="0" w:hanging="993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If “Yes” is marked, indicate below the file number assigned to the registrant in connection with Rule 12g3-2(b): N/A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Annual General Meeting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Nexxen International Ltd. (the “</w:t>
      </w:r>
      <w:r>
        <w:rPr>
          <w:rFonts w:ascii="Times New Roman;Times;Serif" w:hAnsi="Times New Roman;Times;Serif"/>
          <w:b/>
          <w:i/>
          <w:caps w:val="false"/>
          <w:smallCaps w:val="false"/>
          <w:sz w:val="20"/>
        </w:rPr>
        <w:t>Company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”) held its Annual General Meeting on September 29, 2026. A total of 24,004,886 Ordinary Shares, par value NIS 0.02 per share, of the Company (“</w:t>
      </w:r>
      <w:r>
        <w:rPr>
          <w:rFonts w:ascii="Times New Roman;Times;Serif" w:hAnsi="Times New Roman;Times;Serif"/>
          <w:b/>
          <w:i/>
          <w:caps w:val="false"/>
          <w:smallCaps w:val="false"/>
          <w:sz w:val="20"/>
        </w:rPr>
        <w:t>Ordinary Shares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”) held by shareholders of record at the close of business on August 24, 2026 (the “</w:t>
      </w:r>
      <w:r>
        <w:rPr>
          <w:rFonts w:ascii="Times New Roman;Times;Serif" w:hAnsi="Times New Roman;Times;Serif"/>
          <w:b/>
          <w:i/>
          <w:caps w:val="false"/>
          <w:smallCaps w:val="false"/>
          <w:sz w:val="20"/>
        </w:rPr>
        <w:t>Record Date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”) were present and entitled to vote at the Annual General Meeting.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position w:val="7"/>
          <w:sz w:val="16"/>
          <w:sz w:val="20"/>
        </w:rPr>
        <w:t>[1]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 At the Annual General Meeting, the Company’s shareholders voted on Proposals 1, 2 and 3. Following the receipt of feedback from investors, the Board elected prior to the Annual General Meeting to withdraw Proposal No. 4 from the agenda. An updated proposal will be presented to the vote of shareholders at a subsequent meeting of shareholders following additional review and consideration.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/>
          <w:i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/>
          <w:caps w:val="false"/>
          <w:smallCaps w:val="false"/>
          <w:sz w:val="20"/>
        </w:rPr>
        <w:t>Proposal 1: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To re-elect the following directors to the Board to serve until the 2027 annual general meeting of shareholders: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940" w:type="dxa"/>
        <w:jc w:val="left"/>
        <w:tblInd w:w="-1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5"/>
        <w:gridCol w:w="1190"/>
        <w:gridCol w:w="1070"/>
        <w:gridCol w:w="905"/>
      </w:tblGrid>
      <w:tr>
        <w:trPr/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i/>
              </w:rPr>
            </w:pPr>
            <w:r>
              <w:rPr>
                <w:i/>
              </w:rPr>
              <w:t>Nominee</w:t>
            </w:r>
          </w:p>
        </w:tc>
        <w:tc>
          <w:tcPr>
            <w:tcW w:w="11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i/>
              </w:rPr>
            </w:pPr>
            <w:r>
              <w:rPr>
                <w:i/>
              </w:rPr>
              <w:t>For</w:t>
            </w:r>
          </w:p>
        </w:tc>
        <w:tc>
          <w:tcPr>
            <w:tcW w:w="10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i/>
              </w:rPr>
            </w:pPr>
            <w:r>
              <w:rPr>
                <w:i/>
              </w:rPr>
              <w:t>Against</w:t>
            </w:r>
          </w:p>
        </w:tc>
        <w:tc>
          <w:tcPr>
            <w:tcW w:w="9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i/>
              </w:rPr>
            </w:pPr>
            <w:r>
              <w:rPr>
                <w:i/>
              </w:rPr>
              <w:t>Abstain</w:t>
            </w:r>
          </w:p>
        </w:tc>
      </w:tr>
      <w:tr>
        <w:trPr/>
        <w:tc>
          <w:tcPr>
            <w:tcW w:w="17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Ofer Druker</w:t>
            </w:r>
          </w:p>
        </w:tc>
        <w:tc>
          <w:tcPr>
            <w:tcW w:w="119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23,176,876</w:t>
            </w:r>
          </w:p>
        </w:tc>
        <w:tc>
          <w:tcPr>
            <w:tcW w:w="107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118,831</w:t>
            </w:r>
          </w:p>
        </w:tc>
        <w:tc>
          <w:tcPr>
            <w:tcW w:w="90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709,179</w:t>
            </w:r>
          </w:p>
        </w:tc>
      </w:tr>
      <w:tr>
        <w:trPr/>
        <w:tc>
          <w:tcPr>
            <w:tcW w:w="17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Neil Jones</w:t>
            </w:r>
          </w:p>
        </w:tc>
        <w:tc>
          <w:tcPr>
            <w:tcW w:w="119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19,127,451</w:t>
            </w:r>
          </w:p>
        </w:tc>
        <w:tc>
          <w:tcPr>
            <w:tcW w:w="107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4,835,171</w:t>
            </w:r>
          </w:p>
        </w:tc>
        <w:tc>
          <w:tcPr>
            <w:tcW w:w="90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42,264</w:t>
            </w:r>
          </w:p>
        </w:tc>
      </w:tr>
      <w:tr>
        <w:trPr/>
        <w:tc>
          <w:tcPr>
            <w:tcW w:w="17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Daniel Kerstein</w:t>
            </w:r>
          </w:p>
        </w:tc>
        <w:tc>
          <w:tcPr>
            <w:tcW w:w="119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22,079,461</w:t>
            </w:r>
          </w:p>
        </w:tc>
        <w:tc>
          <w:tcPr>
            <w:tcW w:w="107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1,888,490</w:t>
            </w:r>
          </w:p>
        </w:tc>
        <w:tc>
          <w:tcPr>
            <w:tcW w:w="90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36,935</w:t>
            </w:r>
          </w:p>
        </w:tc>
      </w:tr>
      <w:tr>
        <w:trPr/>
        <w:tc>
          <w:tcPr>
            <w:tcW w:w="17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Lisa Klinger</w:t>
            </w:r>
          </w:p>
        </w:tc>
        <w:tc>
          <w:tcPr>
            <w:tcW w:w="119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20,561,716</w:t>
            </w:r>
          </w:p>
        </w:tc>
        <w:tc>
          <w:tcPr>
            <w:tcW w:w="107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3,409,295</w:t>
            </w:r>
          </w:p>
        </w:tc>
        <w:tc>
          <w:tcPr>
            <w:tcW w:w="90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33,875</w:t>
            </w:r>
          </w:p>
        </w:tc>
      </w:tr>
      <w:tr>
        <w:trPr/>
        <w:tc>
          <w:tcPr>
            <w:tcW w:w="17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Rhys Summerton</w:t>
            </w:r>
          </w:p>
        </w:tc>
        <w:tc>
          <w:tcPr>
            <w:tcW w:w="119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14,918,314</w:t>
            </w:r>
          </w:p>
        </w:tc>
        <w:tc>
          <w:tcPr>
            <w:tcW w:w="107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9,046,138</w:t>
            </w:r>
          </w:p>
        </w:tc>
        <w:tc>
          <w:tcPr>
            <w:tcW w:w="90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40,434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Each of the nominees was elected by the Company’s shareholders by the requisite majority required under the Israeli Companies Law, 5759-1999 (the “</w:t>
      </w:r>
      <w:r>
        <w:rPr>
          <w:rFonts w:ascii="Times New Roman;Times;Serif" w:hAnsi="Times New Roman;Times;Serif"/>
          <w:b/>
          <w:i/>
          <w:caps w:val="false"/>
          <w:smallCaps w:val="false"/>
          <w:sz w:val="20"/>
        </w:rPr>
        <w:t>Companies Law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”).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/>
          <w:i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/>
          <w:caps w:val="false"/>
          <w:smallCaps w:val="false"/>
          <w:sz w:val="20"/>
        </w:rPr>
        <w:t>Proposal 2: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To approve the appointment and compensation of the Company’s independent public accountants: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880" w:type="dxa"/>
        <w:jc w:val="left"/>
        <w:tblInd w:w="-1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05"/>
        <w:gridCol w:w="830"/>
        <w:gridCol w:w="845"/>
      </w:tblGrid>
      <w:tr>
        <w:trPr/>
        <w:tc>
          <w:tcPr>
            <w:tcW w:w="1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i/>
              </w:rPr>
            </w:pPr>
            <w:r>
              <w:rPr>
                <w:i/>
              </w:rPr>
              <w:t>For</w:t>
            </w:r>
          </w:p>
        </w:tc>
        <w:tc>
          <w:tcPr>
            <w:tcW w:w="8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i/>
              </w:rPr>
            </w:pPr>
            <w:r>
              <w:rPr>
                <w:i/>
              </w:rPr>
              <w:t>Against</w:t>
            </w:r>
          </w:p>
        </w:tc>
        <w:tc>
          <w:tcPr>
            <w:tcW w:w="8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i/>
              </w:rPr>
            </w:pPr>
            <w:r>
              <w:rPr>
                <w:i/>
              </w:rPr>
              <w:t>Abstain</w:t>
            </w:r>
          </w:p>
        </w:tc>
      </w:tr>
      <w:tr>
        <w:trPr/>
        <w:tc>
          <w:tcPr>
            <w:tcW w:w="12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23,979,634</w:t>
            </w:r>
          </w:p>
        </w:tc>
        <w:tc>
          <w:tcPr>
            <w:tcW w:w="83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5,363</w:t>
            </w:r>
          </w:p>
        </w:tc>
        <w:tc>
          <w:tcPr>
            <w:tcW w:w="84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19,889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Proposal 2 was approved by the Company’s shareholders by the requisite majority required under the Companies Law.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/>
          <w:i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/>
          <w:caps w:val="false"/>
          <w:smallCaps w:val="false"/>
          <w:sz w:val="20"/>
        </w:rPr>
        <w:t>Proposal 3: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To approve the Equity Incentive Plans: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120" w:type="dxa"/>
        <w:jc w:val="left"/>
        <w:tblInd w:w="-1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05"/>
        <w:gridCol w:w="1070"/>
        <w:gridCol w:w="845"/>
      </w:tblGrid>
      <w:tr>
        <w:trPr/>
        <w:tc>
          <w:tcPr>
            <w:tcW w:w="1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i/>
              </w:rPr>
            </w:pPr>
            <w:r>
              <w:rPr>
                <w:i/>
              </w:rPr>
              <w:t>For</w:t>
            </w:r>
          </w:p>
        </w:tc>
        <w:tc>
          <w:tcPr>
            <w:tcW w:w="10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i/>
              </w:rPr>
            </w:pPr>
            <w:r>
              <w:rPr>
                <w:i/>
              </w:rPr>
              <w:t>Against</w:t>
            </w:r>
          </w:p>
        </w:tc>
        <w:tc>
          <w:tcPr>
            <w:tcW w:w="8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i/>
              </w:rPr>
            </w:pPr>
            <w:r>
              <w:rPr>
                <w:i/>
              </w:rPr>
              <w:t>Abstain</w:t>
            </w:r>
          </w:p>
        </w:tc>
      </w:tr>
      <w:tr>
        <w:trPr/>
        <w:tc>
          <w:tcPr>
            <w:tcW w:w="12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22,849,602</w:t>
            </w:r>
          </w:p>
        </w:tc>
        <w:tc>
          <w:tcPr>
            <w:tcW w:w="107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1,133,519</w:t>
            </w:r>
          </w:p>
        </w:tc>
        <w:tc>
          <w:tcPr>
            <w:tcW w:w="84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21,765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Proposal 3 was approved by the Company’s shareholders by the requisite majority required under the Companies Law.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 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position w:val="7"/>
          <w:sz w:val="16"/>
          <w:sz w:val="20"/>
        </w:rPr>
        <w:t>1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 Pursuant to Section 333(b) of the Israeli Companies Law, 5759-1999, Mithaq Capital SPC may not exercise voting rights in excess of 25% of the Company’s outstanding Ordinary Shares on the Record Date (56,950,169 Ordinary Shares).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SIGNATURES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firstLine="284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ab/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0" w:right="0" w:firstLine="284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Nexxen International Ltd.</w:t>
      </w:r>
    </w:p>
    <w:p>
      <w:pPr>
        <w:pStyle w:val="TextBody"/>
        <w:bidi w:val="0"/>
        <w:spacing w:before="0" w:after="0"/>
        <w:ind w:left="36" w:right="36" w:hanging="284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85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0"/>
        <w:gridCol w:w="1475"/>
      </w:tblGrid>
      <w:tr>
        <w:trPr/>
        <w:tc>
          <w:tcPr>
            <w:tcW w:w="3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By:</w:t>
            </w:r>
          </w:p>
        </w:tc>
        <w:tc>
          <w:tcPr>
            <w:tcW w:w="14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u w:val="single"/>
              </w:rPr>
            </w:pPr>
            <w:r>
              <w:rPr>
                <w:u w:val="single"/>
              </w:rPr>
              <w:t>/S/ SAGI NIRI</w:t>
            </w:r>
          </w:p>
        </w:tc>
      </w:tr>
    </w:tbl>
    <w:tbl>
      <w:tblPr>
        <w:tblW w:w="155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5"/>
        <w:gridCol w:w="890"/>
      </w:tblGrid>
      <w:tr>
        <w:trPr/>
        <w:tc>
          <w:tcPr>
            <w:tcW w:w="6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Name:</w:t>
            </w:r>
          </w:p>
        </w:tc>
        <w:tc>
          <w:tcPr>
            <w:tcW w:w="8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Sagi Niri</w:t>
            </w:r>
          </w:p>
        </w:tc>
      </w:tr>
    </w:tbl>
    <w:tbl>
      <w:tblPr>
        <w:tblW w:w="275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0"/>
        <w:gridCol w:w="2225"/>
      </w:tblGrid>
      <w:tr>
        <w:trPr/>
        <w:tc>
          <w:tcPr>
            <w:tcW w:w="5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Title:</w:t>
            </w:r>
          </w:p>
        </w:tc>
        <w:tc>
          <w:tcPr>
            <w:tcW w:w="22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Chief Financial Officer</w:t>
            </w:r>
          </w:p>
        </w:tc>
      </w:tr>
    </w:tbl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Date: September 30, 2026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494</Words>
  <Characters>2737</Characters>
  <CharactersWithSpaces>3197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