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35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3516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Jones Neil Garth</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600" w:type="dxa"/>
            <w:vAlign w:val="bottom"/>
            <w:tcBorders>
              <w:top w:val="single" w:sz="8" w:color="0000EE"/>
              <w:bottom w:val="single" w:sz="8" w:color="9A9A9A"/>
            </w:tcBorders>
          </w:tcPr>
          <w:p>
            <w:pPr>
              <w:spacing w:after="0"/>
              <w:rPr>
                <w:sz w:val="16"/>
                <w:szCs w:val="16"/>
                <w:color w:val="auto"/>
              </w:rPr>
            </w:pPr>
          </w:p>
        </w:tc>
        <w:tc>
          <w:tcPr>
            <w:tcW w:w="146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Nexxen International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NEXN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80" w:type="dxa"/>
            <w:vAlign w:val="bottom"/>
          </w:tcPr>
          <w:p>
            <w:pPr>
              <w:ind w:left="40"/>
              <w:spacing w:after="0"/>
              <w:rPr>
                <w:sz w:val="20"/>
                <w:szCs w:val="20"/>
                <w:color w:val="auto"/>
              </w:rPr>
            </w:pPr>
            <w:r>
              <w:rPr>
                <w:rFonts w:ascii="Arial" w:cs="Arial" w:eastAsia="Arial" w:hAnsi="Arial"/>
                <w:sz w:val="15"/>
                <w:szCs w:val="15"/>
                <w:color w:val="auto"/>
              </w:rPr>
              <w:t>(Last)</w:t>
            </w:r>
          </w:p>
        </w:tc>
        <w:tc>
          <w:tcPr>
            <w:tcW w:w="820" w:type="dxa"/>
            <w:vAlign w:val="bottom"/>
          </w:tcPr>
          <w:p>
            <w:pPr>
              <w:ind w:left="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82 YIGAL ALON STREET</w:t>
            </w:r>
          </w:p>
        </w:tc>
      </w:tr>
      <w:tr>
        <w:trPr>
          <w:trHeight w:val="237"/>
        </w:trPr>
        <w:tc>
          <w:tcPr>
            <w:tcW w:w="980" w:type="dxa"/>
            <w:vAlign w:val="bottom"/>
            <w:tcBorders>
              <w:bottom w:val="single" w:sz="8" w:color="9A9A9A"/>
            </w:tcBorders>
          </w:tcPr>
          <w:p>
            <w:pPr>
              <w:spacing w:after="0"/>
              <w:rPr>
                <w:sz w:val="20"/>
                <w:szCs w:val="20"/>
                <w:color w:val="auto"/>
              </w:rPr>
            </w:pPr>
          </w:p>
        </w:tc>
        <w:tc>
          <w:tcPr>
            <w:tcW w:w="8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98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9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TEL AVIV</w:t>
            </w:r>
          </w:p>
        </w:tc>
        <w:tc>
          <w:tcPr>
            <w:tcW w:w="8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L3</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6789124</w:t>
            </w:r>
          </w:p>
        </w:tc>
      </w:tr>
      <w:tr>
        <w:trPr>
          <w:trHeight w:val="177"/>
        </w:trPr>
        <w:tc>
          <w:tcPr>
            <w:tcW w:w="98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980" w:type="dxa"/>
            <w:vAlign w:val="bottom"/>
          </w:tcPr>
          <w:p>
            <w:pPr>
              <w:ind w:left="40"/>
              <w:spacing w:after="0"/>
              <w:rPr>
                <w:sz w:val="20"/>
                <w:szCs w:val="20"/>
                <w:color w:val="auto"/>
              </w:rPr>
            </w:pPr>
            <w:r>
              <w:rPr>
                <w:rFonts w:ascii="Arial" w:cs="Arial" w:eastAsia="Arial" w:hAnsi="Arial"/>
                <w:sz w:val="15"/>
                <w:szCs w:val="15"/>
                <w:color w:val="auto"/>
              </w:rPr>
              <w:t>(City)</w:t>
            </w:r>
          </w:p>
        </w:tc>
        <w:tc>
          <w:tcPr>
            <w:tcW w:w="820" w:type="dxa"/>
            <w:vAlign w:val="bottom"/>
          </w:tcPr>
          <w:p>
            <w:pPr>
              <w:ind w:left="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49,678</w:t>
            </w:r>
          </w:p>
        </w:tc>
        <w:tc>
          <w:tcPr>
            <w:tcW w:w="100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0000FF"/>
                <w:w w:val="96"/>
              </w:rPr>
              <w:t>D</w:t>
            </w: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380" w:type="dxa"/>
            <w:vAlign w:val="bottom"/>
            <w:tcBorders>
              <w:bottom w:val="single" w:sz="8" w:color="2C2C2C"/>
            </w:tcBorders>
            <w:gridSpan w:val="2"/>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3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60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8"/>
                <w:szCs w:val="18"/>
                <w:color w:val="auto"/>
              </w:rPr>
            </w:pPr>
          </w:p>
        </w:tc>
        <w:tc>
          <w:tcPr>
            <w:tcW w:w="150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6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20" w:type="dxa"/>
            <w:vAlign w:val="bottom"/>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20" w:type="dxa"/>
            <w:vAlign w:val="bottom"/>
            <w:gridSpan w:val="2"/>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2760" w:type="dxa"/>
            <w:vAlign w:val="bottom"/>
          </w:tcPr>
          <w:p>
            <w:pPr>
              <w:ind w:left="20"/>
              <w:spacing w:after="0"/>
              <w:rPr>
                <w:sz w:val="20"/>
                <w:szCs w:val="20"/>
                <w:color w:val="auto"/>
              </w:rPr>
            </w:pPr>
            <w:r>
              <w:rPr>
                <w:rFonts w:ascii="Arial" w:cs="Arial" w:eastAsia="Arial" w:hAnsi="Arial"/>
                <w:sz w:val="20"/>
                <w:szCs w:val="20"/>
                <w:b w:val="1"/>
                <w:bCs w:val="1"/>
                <w:color w:val="auto"/>
              </w:rPr>
              <w:t>Remarks: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5"/>
                <w:szCs w:val="15"/>
                <w:color w:val="008000"/>
              </w:rPr>
              <w:t>[Exhibit 24 - Power of Attorney.]</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0000FF"/>
                <w:w w:val="95"/>
              </w:rPr>
              <w:t>/s/ Shai Shulman</w:t>
            </w: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96"/>
              </w:rPr>
              <w:t>03/23/2026</w:t>
            </w: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38100"/>
                    </a:xfrm>
                    <a:prstGeom prst="rect">
                      <a:avLst/>
                    </a:prstGeom>
                    <a:noFill/>
                  </pic:spPr>
                </pic:pic>
              </a:graphicData>
            </a:graphic>
          </wp:anchor>
        </w:drawing>
        <w:drawing>
          <wp:anchor simplePos="0" relativeHeight="251657728" behindDoc="1" locked="0" layoutInCell="0" allowOverlap="1">
            <wp:simplePos x="0" y="0"/>
            <wp:positionH relativeFrom="page">
              <wp:posOffset>304800</wp:posOffset>
            </wp:positionH>
            <wp:positionV relativeFrom="page">
              <wp:posOffset>222250</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t>Exhibit 24</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16 AND FORM 144</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40" w:lineRule="exact"/>
        <w:rPr>
          <w:sz w:val="20"/>
          <w:szCs w:val="20"/>
          <w:color w:val="auto"/>
        </w:rPr>
      </w:pPr>
    </w:p>
    <w:p>
      <w:pPr>
        <w:jc w:val="both"/>
        <w:ind w:firstLine="720"/>
        <w:spacing w:after="0" w:line="273" w:lineRule="auto"/>
        <w:rPr>
          <w:sz w:val="20"/>
          <w:szCs w:val="20"/>
          <w:color w:val="auto"/>
        </w:rPr>
      </w:pPr>
      <w:r>
        <w:rPr>
          <w:rFonts w:ascii="Times New Roman" w:cs="Times New Roman" w:eastAsia="Times New Roman" w:hAnsi="Times New Roman"/>
          <w:sz w:val="20"/>
          <w:szCs w:val="20"/>
          <w:color w:val="auto"/>
        </w:rPr>
        <w:t>With respect to holdings of and transactions in securities issued by Nexxen International Ltd.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xml:space="preserve">”), the undersigned hereby constitutes and appoints the individuals named on </w:t>
      </w:r>
      <w:r>
        <w:rPr>
          <w:rFonts w:ascii="Times New Roman" w:cs="Times New Roman" w:eastAsia="Times New Roman" w:hAnsi="Times New Roman"/>
          <w:sz w:val="20"/>
          <w:szCs w:val="20"/>
          <w:b w:val="1"/>
          <w:bCs w:val="1"/>
          <w:u w:val="single" w:color="auto"/>
          <w:color w:val="auto"/>
        </w:rPr>
        <w:t>Schedule A</w:t>
      </w:r>
      <w:r>
        <w:rPr>
          <w:rFonts w:ascii="Times New Roman" w:cs="Times New Roman" w:eastAsia="Times New Roman" w:hAnsi="Times New Roman"/>
          <w:sz w:val="20"/>
          <w:szCs w:val="20"/>
          <w:color w:val="auto"/>
        </w:rPr>
        <w:t xml:space="preserve"> attached hereto and as may be amended from time to time, or any of them signing singly, with full power of substitution and resubstitution, to act as the undersigned’s true and lawful attorney-in-fact to:</w:t>
      </w:r>
    </w:p>
    <w:p>
      <w:pPr>
        <w:spacing w:after="0" w:line="220" w:lineRule="exact"/>
        <w:rPr>
          <w:sz w:val="20"/>
          <w:szCs w:val="20"/>
          <w:color w:val="auto"/>
        </w:rPr>
      </w:pPr>
    </w:p>
    <w:p>
      <w:pPr>
        <w:jc w:val="both"/>
        <w:ind w:left="1260" w:hanging="540"/>
        <w:spacing w:after="0" w:line="258" w:lineRule="auto"/>
        <w:tabs>
          <w:tab w:leader="none" w:pos="12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Schedules 13D and 13G in accordance with Section 13 of the Securities Exchange Act of 1934, as amended (the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and the rules thereunder, and Forms 3, 4, and 5 in accordance with Section 16 of the Exchange Act and the rules thereunder, and Notices of Proposed Sale of Securities Pursuant to Rule 144 (“</w:t>
      </w:r>
      <w:r>
        <w:rPr>
          <w:rFonts w:ascii="Times New Roman" w:cs="Times New Roman" w:eastAsia="Times New Roman" w:hAnsi="Times New Roman"/>
          <w:sz w:val="20"/>
          <w:szCs w:val="20"/>
          <w:b w:val="1"/>
          <w:bCs w:val="1"/>
          <w:i w:val="1"/>
          <w:iCs w:val="1"/>
          <w:color w:val="auto"/>
        </w:rPr>
        <w:t>Form 144</w:t>
      </w:r>
      <w:r>
        <w:rPr>
          <w:rFonts w:ascii="Times New Roman" w:cs="Times New Roman" w:eastAsia="Times New Roman" w:hAnsi="Times New Roman"/>
          <w:sz w:val="20"/>
          <w:szCs w:val="20"/>
          <w:color w:val="auto"/>
        </w:rPr>
        <w:t>”), in accordance with the requirements of Rule 144 under the Securities Act of 1933, as amended (the “</w:t>
      </w:r>
      <w:r>
        <w:rPr>
          <w:rFonts w:ascii="Times New Roman" w:cs="Times New Roman" w:eastAsia="Times New Roman" w:hAnsi="Times New Roman"/>
          <w:sz w:val="20"/>
          <w:szCs w:val="20"/>
          <w:b w:val="1"/>
          <w:bCs w:val="1"/>
          <w:i w:val="1"/>
          <w:iCs w:val="1"/>
          <w:color w:val="auto"/>
        </w:rPr>
        <w:t>Securities Act</w:t>
      </w:r>
      <w:r>
        <w:rPr>
          <w:rFonts w:ascii="Times New Roman" w:cs="Times New Roman" w:eastAsia="Times New Roman" w:hAnsi="Times New Roman"/>
          <w:sz w:val="20"/>
          <w:szCs w:val="20"/>
          <w:color w:val="auto"/>
        </w:rPr>
        <w:t>”); and</w:t>
      </w:r>
    </w:p>
    <w:p>
      <w:pPr>
        <w:spacing w:after="0" w:line="204" w:lineRule="exact"/>
        <w:rPr>
          <w:rFonts w:ascii="Times New Roman" w:cs="Times New Roman" w:eastAsia="Times New Roman" w:hAnsi="Times New Roman"/>
          <w:sz w:val="20"/>
          <w:szCs w:val="20"/>
          <w:color w:val="auto"/>
        </w:rPr>
      </w:pPr>
    </w:p>
    <w:p>
      <w:pPr>
        <w:jc w:val="both"/>
        <w:ind w:left="1260" w:hanging="540"/>
        <w:spacing w:after="0" w:line="258" w:lineRule="auto"/>
        <w:tabs>
          <w:tab w:leader="none" w:pos="12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p>
      <w:pPr>
        <w:spacing w:after="0" w:line="220"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26" w:lineRule="exact"/>
        <w:rPr>
          <w:sz w:val="20"/>
          <w:szCs w:val="20"/>
          <w:color w:val="auto"/>
        </w:rPr>
      </w:pPr>
    </w:p>
    <w:p>
      <w:pPr>
        <w:jc w:val="both"/>
        <w:ind w:firstLine="720"/>
        <w:spacing w:after="0" w:line="274" w:lineRule="auto"/>
        <w:rPr>
          <w:sz w:val="20"/>
          <w:szCs w:val="20"/>
          <w:color w:val="auto"/>
        </w:rPr>
      </w:pPr>
      <w:r>
        <w:rPr>
          <w:rFonts w:ascii="Times New Roman" w:cs="Times New Roman" w:eastAsia="Times New Roman" w:hAnsi="Times New Roman"/>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spacing w:after="0" w:line="203" w:lineRule="exact"/>
        <w:rPr>
          <w:sz w:val="20"/>
          <w:szCs w:val="20"/>
          <w:color w:val="auto"/>
        </w:rPr>
      </w:pPr>
    </w:p>
    <w:p>
      <w:pPr>
        <w:jc w:val="both"/>
        <w:ind w:firstLine="720"/>
        <w:spacing w:after="0" w:line="282"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any Schedule 13D, Schedule 13G, Form 3, Form 4, Form 5, and Form 144 with respect to the undersigned’s holdings of and transactions in securities issued by the Company, unless earlier revoked by the undersigned in a signed writing delivered to the foregoing attorneys-in-fact.</w:t>
      </w:r>
    </w:p>
    <w:p>
      <w:pPr>
        <w:spacing w:after="0" w:line="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12</w:t>
      </w:r>
      <w:r>
        <w:rPr>
          <w:rFonts w:ascii="Times New Roman" w:cs="Times New Roman" w:eastAsia="Times New Roman" w:hAnsi="Times New Roman"/>
          <w:sz w:val="33"/>
          <w:szCs w:val="33"/>
          <w:color w:val="auto"/>
          <w:vertAlign w:val="superscript"/>
        </w:rPr>
        <w:t>th</w:t>
      </w:r>
      <w:r>
        <w:rPr>
          <w:rFonts w:ascii="Times New Roman" w:cs="Times New Roman" w:eastAsia="Times New Roman" w:hAnsi="Times New Roman"/>
          <w:sz w:val="20"/>
          <w:szCs w:val="20"/>
          <w:color w:val="auto"/>
        </w:rPr>
        <w:t xml:space="preserve"> day of February,</w:t>
      </w:r>
    </w:p>
    <w:p>
      <w:pPr>
        <w:spacing w:after="0"/>
        <w:rPr>
          <w:sz w:val="20"/>
          <w:szCs w:val="20"/>
          <w:color w:val="auto"/>
        </w:rPr>
      </w:pPr>
      <w:r>
        <w:rPr>
          <w:rFonts w:ascii="Times New Roman" w:cs="Times New Roman" w:eastAsia="Times New Roman" w:hAnsi="Times New Roman"/>
          <w:sz w:val="20"/>
          <w:szCs w:val="20"/>
          <w:color w:val="auto"/>
        </w:rPr>
        <w:t>2026.</w:t>
      </w:r>
    </w:p>
    <w:p>
      <w:pPr>
        <w:spacing w:after="0" w:line="2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u w:val="single" w:color="auto"/>
          <w:color w:val="auto"/>
        </w:rPr>
        <w:t>/s/ Neil Garth Jones</w:t>
      </w:r>
    </w:p>
    <w:p>
      <w:pPr>
        <w:spacing w:after="0" w:line="3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Neil Garth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301625</wp:posOffset>
            </wp:positionV>
            <wp:extent cx="694690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445" w:right="479" w:bottom="1440" w:gutter="0" w:footer="0" w:header="0"/>
        </w:sectPr>
      </w:pPr>
    </w:p>
    <w:bookmarkStart w:id="2" w:name="page3"/>
    <w:bookmarkEnd w:id="2"/>
    <w:p>
      <w:pPr>
        <w:jc w:val="center"/>
        <w:ind w:right="-960"/>
        <w:spacing w:after="0"/>
        <w:rPr>
          <w:sz w:val="20"/>
          <w:szCs w:val="20"/>
          <w:color w:val="auto"/>
        </w:rPr>
      </w:pPr>
      <w:r>
        <w:rPr>
          <w:rFonts w:ascii="Times New Roman" w:cs="Times New Roman" w:eastAsia="Times New Roman" w:hAnsi="Times New Roman"/>
          <w:sz w:val="20"/>
          <w:szCs w:val="20"/>
          <w:u w:val="single" w:color="auto"/>
          <w:color w:val="auto"/>
        </w:rPr>
        <w:t>Schedule A</w:t>
      </w:r>
    </w:p>
    <w:p>
      <w:pPr>
        <w:spacing w:after="0" w:line="261"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20"/>
          <w:szCs w:val="20"/>
          <w:b w:val="1"/>
          <w:bCs w:val="1"/>
          <w:color w:val="auto"/>
        </w:rPr>
        <w:t>INDIVIDUALS APPOINTED AS ATTORNEY-IN-FACT,</w:t>
      </w:r>
    </w:p>
    <w:p>
      <w:pPr>
        <w:spacing w:after="0" w:line="34"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9"/>
          <w:szCs w:val="19"/>
          <w:b w:val="1"/>
          <w:bCs w:val="1"/>
          <w:color w:val="auto"/>
        </w:rPr>
        <w:t>WITH FULL POWER OF SUBSTITUTION AND RESUBSTITUTION</w:t>
      </w:r>
    </w:p>
    <w:p>
      <w:pPr>
        <w:spacing w:after="0" w:line="272" w:lineRule="exact"/>
        <w:rPr>
          <w:sz w:val="20"/>
          <w:szCs w:val="20"/>
          <w:color w:val="auto"/>
        </w:rPr>
      </w:pPr>
    </w:p>
    <w:p>
      <w:pPr>
        <w:ind w:left="640" w:hanging="640"/>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Allison Zolot, Chief Legal Officer of the Company</w:t>
      </w:r>
    </w:p>
    <w:p>
      <w:pPr>
        <w:spacing w:after="0" w:line="30" w:lineRule="exact"/>
        <w:rPr>
          <w:rFonts w:ascii="Times New Roman" w:cs="Times New Roman" w:eastAsia="Times New Roman" w:hAnsi="Times New Roman"/>
          <w:sz w:val="20"/>
          <w:szCs w:val="20"/>
          <w:color w:val="auto"/>
        </w:rPr>
      </w:pPr>
    </w:p>
    <w:p>
      <w:pPr>
        <w:ind w:left="660" w:hanging="660"/>
        <w:spacing w:after="0"/>
        <w:tabs>
          <w:tab w:leader="none" w:pos="6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Shai Shulman, Senior Corporate Counsel of the Company</w:t>
      </w:r>
    </w:p>
    <w:p>
      <w:pPr>
        <w:spacing w:after="0" w:line="25" w:lineRule="exact"/>
        <w:rPr>
          <w:rFonts w:ascii="Times New Roman" w:cs="Times New Roman" w:eastAsia="Times New Roman" w:hAnsi="Times New Roman"/>
          <w:sz w:val="20"/>
          <w:szCs w:val="20"/>
          <w:color w:val="auto"/>
        </w:rPr>
      </w:pPr>
    </w:p>
    <w:p>
      <w:pPr>
        <w:ind w:left="660" w:hanging="660"/>
        <w:spacing w:after="0"/>
        <w:tabs>
          <w:tab w:leader="none" w:pos="6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Maricela Zevala, Contracts &amp; Admin Assistant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244475</wp:posOffset>
            </wp:positionV>
            <wp:extent cx="694690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349250</wp:posOffset>
            </wp:positionV>
            <wp:extent cx="694690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38100"/>
                    </a:xfrm>
                    <a:prstGeom prst="rect">
                      <a:avLst/>
                    </a:prstGeom>
                    <a:noFill/>
                  </pic:spPr>
                </pic:pic>
              </a:graphicData>
            </a:graphic>
          </wp:anchor>
        </w:drawing>
      </w:r>
    </w:p>
    <w:sectPr>
      <w:pgSz w:w="11900" w:h="16838" w:orient="portrait"/>
      <w:cols w:equalWidth="0" w:num="1">
        <w:col w:w="9979"/>
      </w:cols>
      <w:pgMar w:left="480" w:top="1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2123034" TargetMode="External"/><Relationship Id="rId11" Type="http://schemas.openxmlformats.org/officeDocument/2006/relationships/hyperlink" Target="http://www.sec.gov/cgi-bin/browse-edgar?action=getcompany&amp;CIK=00018493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2026-03-24T05:06:23Z</dcterms:created>
  <dcterms:modified xsi:type="dcterms:W3CDTF">2026-03-24T05:06:23Z</dcterms:modified>
</cp:coreProperties>
</file>